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63E6D98C"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Pr>
          <w:rFonts w:ascii="Arial" w:hAnsi="Arial" w:cs="Arial"/>
          <w:b/>
          <w:bCs/>
          <w:noProof/>
          <w:sz w:val="24"/>
          <w:szCs w:val="26"/>
        </w:rPr>
        <w:t>4</w:t>
      </w:r>
      <w:r w:rsidRPr="00E274A8">
        <w:rPr>
          <w:rFonts w:ascii="Arial" w:hAnsi="Arial" w:cs="Arial"/>
          <w:b/>
          <w:bCs/>
          <w:noProof/>
          <w:sz w:val="24"/>
          <w:szCs w:val="26"/>
        </w:rPr>
        <w:t xml:space="preserve">                                     </w:t>
      </w:r>
      <w:r>
        <w:rPr>
          <w:rFonts w:ascii="Arial" w:hAnsi="Arial" w:cs="Arial"/>
          <w:b/>
          <w:bCs/>
          <w:noProof/>
          <w:sz w:val="24"/>
          <w:szCs w:val="26"/>
        </w:rPr>
        <w:t xml:space="preserve">   </w:t>
      </w:r>
      <w:r w:rsidRPr="005747EC">
        <w:rPr>
          <w:rFonts w:ascii="Arial" w:hAnsi="Arial" w:cs="Arial"/>
          <w:b/>
          <w:bCs/>
          <w:noProof/>
          <w:sz w:val="24"/>
          <w:szCs w:val="26"/>
        </w:rPr>
        <w:t>R1-</w:t>
      </w:r>
      <w:r w:rsidR="0032057A" w:rsidRPr="005747EC">
        <w:rPr>
          <w:rFonts w:ascii="Arial" w:hAnsi="Arial" w:cs="Arial"/>
          <w:b/>
          <w:bCs/>
          <w:noProof/>
          <w:sz w:val="24"/>
          <w:szCs w:val="26"/>
        </w:rPr>
        <w:t>23</w:t>
      </w:r>
      <w:r w:rsidR="005747EC" w:rsidRPr="005747EC">
        <w:rPr>
          <w:rFonts w:ascii="Arial" w:hAnsi="Arial" w:cs="Arial"/>
          <w:b/>
          <w:bCs/>
          <w:noProof/>
          <w:sz w:val="24"/>
          <w:szCs w:val="26"/>
        </w:rPr>
        <w:t>07737</w:t>
      </w:r>
    </w:p>
    <w:p w14:paraId="4B436A23" w14:textId="77777777" w:rsidR="00973509" w:rsidRPr="00D90D3F" w:rsidRDefault="00973509" w:rsidP="00973509">
      <w:pPr>
        <w:tabs>
          <w:tab w:val="left" w:pos="1985"/>
        </w:tabs>
        <w:spacing w:after="240"/>
        <w:rPr>
          <w:rFonts w:ascii="Arial" w:hAnsi="Arial" w:cs="Arial"/>
          <w:b/>
          <w:bCs/>
          <w:noProof/>
          <w:sz w:val="24"/>
          <w:szCs w:val="26"/>
        </w:rPr>
      </w:pPr>
      <w:r w:rsidRPr="007D7AD4">
        <w:rPr>
          <w:rFonts w:ascii="Arial" w:hAnsi="Arial" w:cs="Arial"/>
          <w:b/>
          <w:bCs/>
          <w:noProof/>
          <w:sz w:val="24"/>
          <w:szCs w:val="26"/>
        </w:rPr>
        <w:t xml:space="preserve">Meeting, </w:t>
      </w:r>
      <w:r>
        <w:rPr>
          <w:rFonts w:ascii="Arial" w:hAnsi="Arial" w:cs="Arial"/>
          <w:b/>
          <w:bCs/>
          <w:noProof/>
          <w:sz w:val="24"/>
          <w:szCs w:val="26"/>
        </w:rPr>
        <w:t>Aug</w:t>
      </w:r>
      <w:r w:rsidRPr="007D7AD4">
        <w:rPr>
          <w:rFonts w:ascii="Arial" w:hAnsi="Arial" w:cs="Arial"/>
          <w:b/>
          <w:bCs/>
          <w:noProof/>
          <w:sz w:val="24"/>
          <w:szCs w:val="26"/>
        </w:rPr>
        <w:t xml:space="preserve"> 2</w:t>
      </w:r>
      <w:r>
        <w:rPr>
          <w:rFonts w:ascii="Arial" w:hAnsi="Arial" w:cs="Arial"/>
          <w:b/>
          <w:bCs/>
          <w:noProof/>
          <w:sz w:val="24"/>
          <w:szCs w:val="26"/>
        </w:rPr>
        <w:t>1</w:t>
      </w:r>
      <w:r w:rsidRPr="007D7AD4">
        <w:rPr>
          <w:rFonts w:ascii="Arial" w:hAnsi="Arial" w:cs="Arial"/>
          <w:b/>
          <w:bCs/>
          <w:noProof/>
          <w:sz w:val="24"/>
          <w:szCs w:val="26"/>
          <w:vertAlign w:val="superscript"/>
        </w:rPr>
        <w:t>th</w:t>
      </w:r>
      <w:r w:rsidRPr="007D7AD4">
        <w:rPr>
          <w:rFonts w:ascii="Arial" w:hAnsi="Arial" w:cs="Arial"/>
          <w:b/>
          <w:bCs/>
          <w:noProof/>
          <w:sz w:val="24"/>
          <w:szCs w:val="26"/>
        </w:rPr>
        <w:t xml:space="preserve"> – 2</w:t>
      </w:r>
      <w:r>
        <w:rPr>
          <w:rFonts w:ascii="Arial" w:hAnsi="Arial" w:cs="Arial"/>
          <w:b/>
          <w:bCs/>
          <w:noProof/>
          <w:sz w:val="24"/>
          <w:szCs w:val="26"/>
        </w:rPr>
        <w:t>5</w:t>
      </w:r>
      <w:r w:rsidRPr="007D7AD4">
        <w:rPr>
          <w:rFonts w:ascii="Arial" w:hAnsi="Arial" w:cs="Arial"/>
          <w:b/>
          <w:bCs/>
          <w:noProof/>
          <w:sz w:val="24"/>
          <w:szCs w:val="26"/>
          <w:vertAlign w:val="superscript"/>
        </w:rPr>
        <w:t>th</w:t>
      </w:r>
      <w:r w:rsidRPr="007D7AD4">
        <w:rPr>
          <w:rFonts w:ascii="Arial" w:hAnsi="Arial" w:cs="Arial"/>
          <w:b/>
          <w:bCs/>
          <w:noProof/>
          <w:sz w:val="24"/>
          <w:szCs w:val="26"/>
        </w:rPr>
        <w:t>, 2023</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9050BE3"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7A6C68">
        <w:rPr>
          <w:rFonts w:ascii="Arial" w:hAnsi="Arial" w:cs="Arial" w:hint="eastAsia"/>
          <w:b/>
          <w:sz w:val="24"/>
          <w:szCs w:val="26"/>
          <w:lang w:val="en-US"/>
        </w:rPr>
        <w:t>Discussion</w:t>
      </w:r>
      <w:r w:rsidR="007A6C68">
        <w:rPr>
          <w:rFonts w:ascii="Arial" w:hAnsi="Arial" w:cs="Arial"/>
          <w:b/>
          <w:sz w:val="24"/>
          <w:szCs w:val="26"/>
          <w:lang w:val="en-US"/>
        </w:rPr>
        <w:t xml:space="preserve"> </w:t>
      </w:r>
      <w:r w:rsidR="007A6C68">
        <w:rPr>
          <w:rFonts w:ascii="Arial" w:hAnsi="Arial" w:cs="Arial" w:hint="eastAsia"/>
          <w:b/>
          <w:sz w:val="24"/>
          <w:szCs w:val="26"/>
          <w:lang w:val="en-US"/>
        </w:rPr>
        <w:t>on</w:t>
      </w:r>
      <w:r w:rsidR="007A6C68">
        <w:rPr>
          <w:rFonts w:ascii="Arial" w:hAnsi="Arial" w:cs="Arial"/>
          <w:b/>
          <w:sz w:val="24"/>
          <w:szCs w:val="26"/>
          <w:lang w:val="en-US"/>
        </w:rPr>
        <w:t xml:space="preserve"> </w:t>
      </w:r>
      <w:r w:rsidR="0043415A">
        <w:rPr>
          <w:rFonts w:ascii="Arial" w:hAnsi="Arial" w:cs="Arial"/>
          <w:b/>
          <w:sz w:val="24"/>
          <w:szCs w:val="26"/>
          <w:lang w:val="en-US"/>
        </w:rPr>
        <w:t>t</w:t>
      </w:r>
      <w:r w:rsidR="006A398F">
        <w:rPr>
          <w:rFonts w:ascii="Arial" w:hAnsi="Arial" w:cs="Arial"/>
          <w:b/>
          <w:sz w:val="24"/>
          <w:szCs w:val="26"/>
          <w:lang w:val="en-US"/>
        </w:rPr>
        <w:t>wo TAs</w:t>
      </w:r>
      <w:r w:rsidR="00A06F5F" w:rsidRPr="00814E7B">
        <w:rPr>
          <w:rFonts w:ascii="Arial" w:eastAsia="SimSun" w:hAnsi="Arial" w:cs="Arial"/>
          <w:b/>
          <w:sz w:val="24"/>
        </w:rPr>
        <w:t xml:space="preserve"> for m</w:t>
      </w:r>
      <w:r w:rsidR="0038682C">
        <w:rPr>
          <w:rFonts w:ascii="Arial" w:eastAsia="SimSun" w:hAnsi="Arial" w:cs="Arial"/>
          <w:b/>
          <w:sz w:val="24"/>
        </w:rPr>
        <w:t xml:space="preserve">TRP </w:t>
      </w:r>
      <w:r w:rsidR="00A27B38">
        <w:rPr>
          <w:rFonts w:asciiTheme="minorEastAsia" w:eastAsiaTheme="minorEastAsia" w:hAnsiTheme="minorEastAsia" w:cs="Arial" w:hint="eastAsia"/>
          <w:b/>
          <w:sz w:val="24"/>
        </w:rPr>
        <w:t>operation</w:t>
      </w:r>
    </w:p>
    <w:p w14:paraId="2BBA9C0C" w14:textId="56E5C59D"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A06F5F">
        <w:rPr>
          <w:rFonts w:ascii="Arial" w:hAnsi="Arial" w:cs="Arial"/>
          <w:b/>
          <w:sz w:val="24"/>
          <w:szCs w:val="26"/>
          <w:lang w:val="en-US"/>
        </w:rPr>
        <w:t>1</w:t>
      </w:r>
      <w:r w:rsidR="00E15432">
        <w:rPr>
          <w:rFonts w:ascii="Arial" w:hAnsi="Arial" w:cs="Arial"/>
          <w:b/>
          <w:sz w:val="24"/>
          <w:szCs w:val="26"/>
          <w:lang w:val="en-US"/>
        </w:rPr>
        <w:t>.</w:t>
      </w:r>
      <w:r w:rsidR="00A06F5F">
        <w:rPr>
          <w:rFonts w:ascii="Arial" w:hAnsi="Arial" w:cs="Arial"/>
          <w:b/>
          <w:sz w:val="24"/>
          <w:szCs w:val="26"/>
          <w:lang w:val="en-US"/>
        </w:rPr>
        <w:t>1.2</w:t>
      </w:r>
      <w:r w:rsidR="00FC18F7" w:rsidRPr="00C15CF1">
        <w:rPr>
          <w:rFonts w:ascii="Arial" w:hAnsi="Arial" w:cs="Arial"/>
          <w:b/>
          <w:sz w:val="24"/>
          <w:szCs w:val="26"/>
          <w:lang w:val="en-US"/>
        </w:rPr>
        <w:t xml:space="preserve"> </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E142D">
      <w:pPr>
        <w:pStyle w:val="1"/>
      </w:pPr>
      <w:r w:rsidRPr="00C02370">
        <w:t>Introduction</w:t>
      </w:r>
    </w:p>
    <w:p w14:paraId="2CE53123" w14:textId="514B7BEA" w:rsidR="0032057A" w:rsidRDefault="0032057A">
      <w:r w:rsidRPr="0032057A">
        <w:t>The WID related to NR MIMO enhancement in Rel-18 includes the specification of "Two TAs for UL multi-DCI for multi-TRP</w:t>
      </w:r>
      <w:r w:rsidR="00684E37">
        <w:t xml:space="preserve"> </w:t>
      </w:r>
      <w:r w:rsidRPr="0032057A">
        <w:t>operation," and the approval for this has been obtained [1]. Some of the remaining issues related to this enhancement are discussed in Section 2.</w:t>
      </w:r>
    </w:p>
    <w:p w14:paraId="6FD53CA8" w14:textId="2ACF0CF7" w:rsidR="00AB0618" w:rsidRPr="00846692" w:rsidRDefault="00AB0618"/>
    <w:p w14:paraId="42187381" w14:textId="3B664F8B" w:rsidR="00EB2E0A" w:rsidRPr="00EB5175" w:rsidRDefault="00EB5175" w:rsidP="00CE142D">
      <w:pPr>
        <w:pStyle w:val="1"/>
        <w:pBdr>
          <w:top w:val="none" w:sz="0" w:space="0" w:color="auto"/>
        </w:pBdr>
        <w:tabs>
          <w:tab w:val="clear" w:pos="397"/>
          <w:tab w:val="num" w:pos="432"/>
        </w:tabs>
        <w:spacing w:before="0" w:after="60" w:line="288" w:lineRule="auto"/>
        <w:ind w:left="432" w:hanging="432"/>
        <w:rPr>
          <w:lang w:val="en-US" w:eastAsia="ko-KR"/>
        </w:rPr>
      </w:pPr>
      <w:r>
        <w:rPr>
          <w:lang w:val="en-US" w:eastAsia="ko-KR"/>
        </w:rPr>
        <w:t>Discussion</w:t>
      </w:r>
    </w:p>
    <w:p w14:paraId="51AEDE8E" w14:textId="03482518" w:rsidR="00E50188" w:rsidRDefault="00E50188" w:rsidP="00E50188">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Pr>
          <w:rFonts w:ascii="Arial" w:eastAsia="Times New Roman" w:hAnsi="Arial"/>
          <w:sz w:val="28"/>
          <w:szCs w:val="20"/>
          <w:lang w:eastAsia="ja-JP"/>
        </w:rPr>
        <w:t>1</w:t>
      </w:r>
      <w:r w:rsidRPr="0033397B">
        <w:rPr>
          <w:rFonts w:ascii="Arial" w:eastAsia="Times New Roman" w:hAnsi="Arial"/>
          <w:sz w:val="28"/>
          <w:szCs w:val="20"/>
          <w:lang w:eastAsia="ja-JP"/>
        </w:rPr>
        <w:t xml:space="preserve"> </w:t>
      </w:r>
      <w:r w:rsidRPr="00D44F08">
        <w:rPr>
          <w:rFonts w:ascii="Arial" w:eastAsia="Times New Roman" w:hAnsi="Arial"/>
          <w:sz w:val="28"/>
          <w:szCs w:val="20"/>
          <w:lang w:eastAsia="ja-JP"/>
        </w:rPr>
        <w:t>TAG ID indication</w:t>
      </w:r>
    </w:p>
    <w:p w14:paraId="3ECF385C" w14:textId="3DBE6A9A" w:rsidR="0032057A" w:rsidRDefault="0032057A" w:rsidP="007D7AD4">
      <w:pPr>
        <w:rPr>
          <w:rFonts w:eastAsia="MS Mincho"/>
          <w:iCs/>
          <w:szCs w:val="20"/>
          <w:lang w:eastAsia="ja-JP"/>
        </w:rPr>
      </w:pPr>
      <w:r w:rsidRPr="0032057A">
        <w:rPr>
          <w:rFonts w:eastAsia="MS Mincho"/>
          <w:iCs/>
          <w:szCs w:val="20"/>
          <w:lang w:eastAsia="ja-JP"/>
        </w:rPr>
        <w:t xml:space="preserve">In RAN1#113, the following agreement was reached for the acquisition of initial </w:t>
      </w:r>
      <w:r>
        <w:rPr>
          <w:rFonts w:eastAsia="MS Mincho"/>
          <w:iCs/>
          <w:szCs w:val="20"/>
          <w:lang w:eastAsia="ja-JP"/>
        </w:rPr>
        <w:t xml:space="preserve">TA </w:t>
      </w:r>
      <w:r w:rsidRPr="0032057A">
        <w:rPr>
          <w:rFonts w:eastAsia="MS Mincho"/>
          <w:iCs/>
          <w:szCs w:val="20"/>
          <w:lang w:eastAsia="ja-JP"/>
        </w:rPr>
        <w:t>for the second</w:t>
      </w:r>
      <w:r>
        <w:rPr>
          <w:rFonts w:eastAsia="MS Mincho"/>
          <w:iCs/>
          <w:szCs w:val="20"/>
          <w:lang w:eastAsia="ja-JP"/>
        </w:rPr>
        <w:t xml:space="preserve"> </w:t>
      </w:r>
      <w:r w:rsidRPr="0032057A">
        <w:rPr>
          <w:rFonts w:eastAsia="MS Mincho"/>
          <w:iCs/>
          <w:szCs w:val="20"/>
          <w:lang w:eastAsia="ja-JP"/>
        </w:rPr>
        <w:t>TRP</w:t>
      </w:r>
      <w:r>
        <w:rPr>
          <w:rFonts w:eastAsia="MS Mincho"/>
          <w:iCs/>
          <w:szCs w:val="20"/>
          <w:lang w:eastAsia="ja-JP"/>
        </w:rPr>
        <w:t xml:space="preserve"> </w:t>
      </w:r>
      <w:r w:rsidRPr="0032057A">
        <w:rPr>
          <w:rFonts w:eastAsia="MS Mincho"/>
          <w:iCs/>
          <w:szCs w:val="20"/>
          <w:lang w:eastAsia="ja-JP"/>
        </w:rPr>
        <w:t xml:space="preserve">in intra-cell </w:t>
      </w:r>
      <w:r w:rsidR="00143EFC">
        <w:rPr>
          <w:rFonts w:eastAsia="MS Mincho"/>
          <w:iCs/>
          <w:szCs w:val="20"/>
          <w:lang w:eastAsia="ja-JP"/>
        </w:rPr>
        <w:t>multi-TRP (</w:t>
      </w:r>
      <w:r w:rsidR="00684E37">
        <w:rPr>
          <w:rFonts w:eastAsia="MS Mincho"/>
          <w:iCs/>
          <w:szCs w:val="20"/>
          <w:lang w:eastAsia="ja-JP"/>
        </w:rPr>
        <w:t>m</w:t>
      </w:r>
      <w:r w:rsidRPr="0032057A">
        <w:rPr>
          <w:rFonts w:eastAsia="MS Mincho"/>
          <w:iCs/>
          <w:szCs w:val="20"/>
          <w:lang w:eastAsia="ja-JP"/>
        </w:rPr>
        <w:t>TRP</w:t>
      </w:r>
      <w:r w:rsidR="00143EFC">
        <w:rPr>
          <w:rFonts w:eastAsia="MS Mincho"/>
          <w:iCs/>
          <w:szCs w:val="20"/>
          <w:lang w:eastAsia="ja-JP"/>
        </w:rPr>
        <w:t>)</w:t>
      </w:r>
      <w:r w:rsidRPr="0032057A">
        <w:rPr>
          <w:rFonts w:eastAsia="MS Mincho"/>
          <w:iCs/>
          <w:szCs w:val="20"/>
          <w:lang w:eastAsia="ja-JP"/>
        </w:rPr>
        <w:t xml:space="preserve"> scenario.</w:t>
      </w:r>
    </w:p>
    <w:tbl>
      <w:tblPr>
        <w:tblStyle w:val="a9"/>
        <w:tblW w:w="0" w:type="auto"/>
        <w:tblLook w:val="04A0" w:firstRow="1" w:lastRow="0" w:firstColumn="1" w:lastColumn="0" w:noHBand="0" w:noVBand="1"/>
      </w:tblPr>
      <w:tblGrid>
        <w:gridCol w:w="9288"/>
      </w:tblGrid>
      <w:tr w:rsidR="00E50188" w14:paraId="6364B93A" w14:textId="77777777" w:rsidTr="007266EF">
        <w:tc>
          <w:tcPr>
            <w:tcW w:w="9288" w:type="dxa"/>
          </w:tcPr>
          <w:p w14:paraId="463C7F87" w14:textId="77777777" w:rsidR="00A63A04" w:rsidRPr="00B40B9B" w:rsidRDefault="00A63A04" w:rsidP="00A63A04">
            <w:pPr>
              <w:rPr>
                <w:rFonts w:cs="Times"/>
                <w:b/>
                <w:bCs/>
                <w:szCs w:val="20"/>
                <w:highlight w:val="green"/>
                <w:lang w:eastAsia="x-none"/>
              </w:rPr>
            </w:pPr>
            <w:r w:rsidRPr="00B40B9B">
              <w:rPr>
                <w:rFonts w:cs="Times"/>
                <w:b/>
                <w:bCs/>
                <w:szCs w:val="20"/>
                <w:highlight w:val="green"/>
                <w:lang w:eastAsia="x-none"/>
              </w:rPr>
              <w:t>Agreement</w:t>
            </w:r>
          </w:p>
          <w:p w14:paraId="19F52F7E" w14:textId="77777777" w:rsidR="00A63A04" w:rsidRPr="00B40B9B" w:rsidRDefault="00A63A04" w:rsidP="00A63A04">
            <w:pPr>
              <w:rPr>
                <w:rFonts w:cs="Times"/>
                <w:i/>
                <w:iCs/>
                <w:sz w:val="18"/>
              </w:rPr>
            </w:pPr>
            <w:r w:rsidRPr="00B40B9B">
              <w:rPr>
                <w:rStyle w:val="af2"/>
                <w:rFonts w:cs="Times"/>
                <w:i w:val="0"/>
                <w:iCs w:val="0"/>
              </w:rPr>
              <w:t xml:space="preserve">For intra-cell multi-DCI based </w:t>
            </w:r>
            <w:proofErr w:type="gramStart"/>
            <w:r w:rsidRPr="00B40B9B">
              <w:rPr>
                <w:rStyle w:val="af2"/>
                <w:rFonts w:cs="Times"/>
                <w:i w:val="0"/>
                <w:iCs w:val="0"/>
              </w:rPr>
              <w:t>Multi-TRP</w:t>
            </w:r>
            <w:proofErr w:type="gramEnd"/>
            <w:r w:rsidRPr="00B40B9B">
              <w:rPr>
                <w:rStyle w:val="af2"/>
                <w:rFonts w:cs="Times"/>
                <w:i w:val="0"/>
                <w:iCs w:val="0"/>
              </w:rPr>
              <w:t xml:space="preserve"> operation with two TA enhancement, down-select one of the following alternatives:</w:t>
            </w:r>
          </w:p>
          <w:p w14:paraId="6E2BB941" w14:textId="77777777" w:rsidR="00A63A04" w:rsidRPr="00B40B9B" w:rsidRDefault="00A63A04" w:rsidP="00A63A04">
            <w:pPr>
              <w:widowControl/>
              <w:numPr>
                <w:ilvl w:val="0"/>
                <w:numId w:val="39"/>
              </w:numPr>
              <w:autoSpaceDE/>
              <w:autoSpaceDN/>
              <w:spacing w:after="0"/>
              <w:jc w:val="left"/>
              <w:rPr>
                <w:rStyle w:val="af2"/>
                <w:i w:val="0"/>
                <w:iCs w:val="0"/>
              </w:rPr>
            </w:pPr>
            <w:r w:rsidRPr="00B40B9B">
              <w:rPr>
                <w:rStyle w:val="af2"/>
                <w:rFonts w:cs="Times"/>
                <w:i w:val="0"/>
                <w:iCs w:val="0"/>
              </w:rPr>
              <w:t>Alt 1:  indicate TAG ID as part of TA command in RAR</w:t>
            </w:r>
          </w:p>
          <w:p w14:paraId="4C0E8081" w14:textId="1E6EF391" w:rsidR="00E50188" w:rsidRPr="00DA1A7E" w:rsidRDefault="00A63A04" w:rsidP="00A63A04">
            <w:pPr>
              <w:widowControl/>
              <w:numPr>
                <w:ilvl w:val="0"/>
                <w:numId w:val="39"/>
              </w:numPr>
              <w:autoSpaceDE/>
              <w:autoSpaceDN/>
              <w:spacing w:after="0"/>
              <w:rPr>
                <w:lang w:val="en-CA"/>
              </w:rPr>
            </w:pPr>
            <w:r w:rsidRPr="00B40B9B">
              <w:rPr>
                <w:rStyle w:val="af2"/>
                <w:rFonts w:cs="Times"/>
                <w:i w:val="0"/>
                <w:iCs w:val="0"/>
              </w:rPr>
              <w:t>Alt 3:  divide SSBs into two groups, one for each TRP.    If a SSB associated to a RACH procedure belongs to the nth group (n=1,2), then the TA obtained via the RACH procedure corresponds to the nth TRP.</w:t>
            </w:r>
          </w:p>
        </w:tc>
      </w:tr>
    </w:tbl>
    <w:p w14:paraId="2A22DEDB" w14:textId="77777777" w:rsidR="00E50188" w:rsidRPr="007D7AD4" w:rsidRDefault="00E50188" w:rsidP="00E50188">
      <w:pPr>
        <w:jc w:val="left"/>
        <w:rPr>
          <w:sz w:val="2"/>
          <w:szCs w:val="2"/>
        </w:rPr>
      </w:pPr>
    </w:p>
    <w:p w14:paraId="62097379" w14:textId="5E7160EC" w:rsidR="00846692" w:rsidRDefault="00846692" w:rsidP="00846692">
      <w:r>
        <w:t>I</w:t>
      </w:r>
      <w:r>
        <w:t>n Alt</w:t>
      </w:r>
      <w:r>
        <w:t xml:space="preserve"> </w:t>
      </w:r>
      <w:r>
        <w:t>3</w:t>
      </w:r>
      <w:r>
        <w:t xml:space="preserve"> </w:t>
      </w:r>
      <w:r>
        <w:t>shown in Figure 1, a serving cell employs two TRPs, each utilizing distinct SSBs</w:t>
      </w:r>
      <w:r>
        <w:t>.</w:t>
      </w:r>
      <w:r>
        <w:t xml:space="preserve"> However, Alt 3 has a drawback due to the use of hard-partitioned SSBs. Despite this limitation, we maintain the view that dividing the maximum of 64 SSBs, as prescribed in the legacy specification, into two for utilization should not lead to significant issues.</w:t>
      </w:r>
      <w:r>
        <w:t xml:space="preserve"> </w:t>
      </w:r>
      <w:r>
        <w:t>Within Alt 3, the UE establishes a mapping relationship between the SSBs and the TRPs. Specifically, TRP1 corresponds to SSB group 1, encompassing SSBs 1, 3, 5, and so on, while TRP2 corresponds to SSB group 2, consisting of SSBs 2, 4, 6, and so forth. This mapping is established through RRC signal</w:t>
      </w:r>
      <w:r>
        <w:t>l</w:t>
      </w:r>
      <w:r>
        <w:t>ing or MAC</w:t>
      </w:r>
      <w:r>
        <w:t>-C</w:t>
      </w:r>
      <w:r>
        <w:t>E from the initially connected TRP (i.e., TRP1 in Figure 1).</w:t>
      </w:r>
    </w:p>
    <w:p w14:paraId="02E9B0C6" w14:textId="32B75ECA" w:rsidR="00D55CBC" w:rsidRPr="007D7AD4" w:rsidRDefault="006F5E3E" w:rsidP="007D7AD4">
      <w:pPr>
        <w:spacing w:after="0"/>
        <w:jc w:val="center"/>
        <w:rPr>
          <w:sz w:val="14"/>
          <w:szCs w:val="14"/>
        </w:rPr>
      </w:pPr>
      <w:r w:rsidRPr="006F5E3E">
        <w:rPr>
          <w:noProof/>
          <w:sz w:val="14"/>
          <w:szCs w:val="14"/>
        </w:rPr>
        <w:drawing>
          <wp:inline distT="0" distB="0" distL="0" distR="0" wp14:anchorId="3FBC39D5" wp14:editId="2BC1E335">
            <wp:extent cx="5904230" cy="1715770"/>
            <wp:effectExtent l="0" t="0" r="1270" b="0"/>
            <wp:docPr id="4" name="그림 3">
              <a:extLst xmlns:a="http://schemas.openxmlformats.org/drawingml/2006/main">
                <a:ext uri="{FF2B5EF4-FFF2-40B4-BE49-F238E27FC236}">
                  <a16:creationId xmlns:a16="http://schemas.microsoft.com/office/drawing/2014/main" id="{430EBD1B-AD55-4289-BE5F-F30F6EA743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430EBD1B-AD55-4289-BE5F-F30F6EA743CF}"/>
                        </a:ext>
                      </a:extLst>
                    </pic:cNvPr>
                    <pic:cNvPicPr>
                      <a:picLocks noChangeAspect="1"/>
                    </pic:cNvPicPr>
                  </pic:nvPicPr>
                  <pic:blipFill>
                    <a:blip r:embed="rId8"/>
                    <a:stretch>
                      <a:fillRect/>
                    </a:stretch>
                  </pic:blipFill>
                  <pic:spPr>
                    <a:xfrm>
                      <a:off x="0" y="0"/>
                      <a:ext cx="5904230" cy="1715770"/>
                    </a:xfrm>
                    <a:prstGeom prst="rect">
                      <a:avLst/>
                    </a:prstGeom>
                  </pic:spPr>
                </pic:pic>
              </a:graphicData>
            </a:graphic>
          </wp:inline>
        </w:drawing>
      </w:r>
    </w:p>
    <w:p w14:paraId="5A2F3DA5" w14:textId="006A3AF0" w:rsidR="00D55CBC" w:rsidRPr="007D7AD4" w:rsidRDefault="00D55CBC" w:rsidP="00D55CBC">
      <w:pPr>
        <w:pStyle w:val="a7"/>
        <w:jc w:val="center"/>
        <w:rPr>
          <w:sz w:val="14"/>
          <w:szCs w:val="12"/>
        </w:rPr>
      </w:pPr>
      <w:bookmarkStart w:id="4" w:name="_Ref110934224"/>
      <w:r>
        <w:t>Fig</w:t>
      </w:r>
      <w:r w:rsidR="007D042F">
        <w:t xml:space="preserve">ure </w:t>
      </w:r>
      <w:r>
        <w:fldChar w:fldCharType="begin"/>
      </w:r>
      <w:r>
        <w:instrText xml:space="preserve"> SEQ Figure \* ARABIC </w:instrText>
      </w:r>
      <w:r>
        <w:fldChar w:fldCharType="separate"/>
      </w:r>
      <w:r>
        <w:rPr>
          <w:noProof/>
        </w:rPr>
        <w:t>1</w:t>
      </w:r>
      <w:r>
        <w:fldChar w:fldCharType="end"/>
      </w:r>
      <w:bookmarkEnd w:id="4"/>
      <w:r>
        <w:t xml:space="preserve">. </w:t>
      </w:r>
      <w:r w:rsidR="00A763B6">
        <w:t>Operating scenario at Alt 3</w:t>
      </w:r>
      <w:r>
        <w:t>.</w:t>
      </w:r>
    </w:p>
    <w:p w14:paraId="3C37EC23" w14:textId="77777777" w:rsidR="00FD79E0" w:rsidRDefault="00846692" w:rsidP="00846692">
      <w:r>
        <w:lastRenderedPageBreak/>
        <w:t xml:space="preserve">In Figure 1, the UE obtains the TA value for the </w:t>
      </w:r>
      <w:r>
        <w:t>1</w:t>
      </w:r>
      <w:r w:rsidRPr="00846692">
        <w:rPr>
          <w:vertAlign w:val="superscript"/>
        </w:rPr>
        <w:t>st</w:t>
      </w:r>
      <w:r>
        <w:t xml:space="preserve"> </w:t>
      </w:r>
      <w:r>
        <w:t xml:space="preserve">link using the </w:t>
      </w:r>
      <w:r>
        <w:t>R</w:t>
      </w:r>
      <w:r>
        <w:t>AR message within the legacy RACH</w:t>
      </w:r>
      <w:r>
        <w:t xml:space="preserve"> </w:t>
      </w:r>
      <w:r>
        <w:t>procedure. This TA is denoted as TAG 1 since the UE can indicate that the TRP in this link corresponds to TRP1. Once the</w:t>
      </w:r>
      <w:r>
        <w:t xml:space="preserve"> 1</w:t>
      </w:r>
      <w:r w:rsidRPr="00846692">
        <w:rPr>
          <w:vertAlign w:val="superscript"/>
        </w:rPr>
        <w:t>st</w:t>
      </w:r>
      <w:r>
        <w:t xml:space="preserve"> </w:t>
      </w:r>
      <w:r>
        <w:t xml:space="preserve">link is established, the UE can acquire the initial TA value for the </w:t>
      </w:r>
      <w:r>
        <w:t>2</w:t>
      </w:r>
      <w:r w:rsidRPr="00846692">
        <w:rPr>
          <w:vertAlign w:val="superscript"/>
        </w:rPr>
        <w:t>nd</w:t>
      </w:r>
      <w:r>
        <w:t xml:space="preserve"> </w:t>
      </w:r>
      <w:r>
        <w:t>link through the</w:t>
      </w:r>
      <w:r>
        <w:t xml:space="preserve"> </w:t>
      </w:r>
      <w:r>
        <w:t>CFRA procedure triggered by the PDCCH order from TRP1.</w:t>
      </w:r>
      <w:r w:rsidR="00FD79E0">
        <w:t xml:space="preserve"> </w:t>
      </w:r>
    </w:p>
    <w:p w14:paraId="122D7F68" w14:textId="77777777" w:rsidR="00FD79E0" w:rsidRDefault="00846692" w:rsidP="00846692">
      <w:r>
        <w:t xml:space="preserve">When obtaining the TA value for the </w:t>
      </w:r>
      <w:r w:rsidR="00FD79E0">
        <w:t>2</w:t>
      </w:r>
      <w:r w:rsidR="00FD79E0" w:rsidRPr="00FD79E0">
        <w:rPr>
          <w:vertAlign w:val="superscript"/>
        </w:rPr>
        <w:t>nd</w:t>
      </w:r>
      <w:r w:rsidR="00FD79E0">
        <w:t xml:space="preserve"> l</w:t>
      </w:r>
      <w:r>
        <w:t xml:space="preserve">ink, the UE can </w:t>
      </w:r>
      <w:r w:rsidRPr="00FD79E0">
        <w:rPr>
          <w:b/>
          <w:bCs/>
        </w:rPr>
        <w:t>indicate whether the link corresponds to TRP2 as a line-of-sight link (as depicted in Figure 1(a)) or to TRP1 as a multipath link (as shown in Figure 1(b))</w:t>
      </w:r>
      <w:r>
        <w:t>, thanks to the aforementioned SSB grouping. Consequently, the UE can effectively manage the TA for the second link separately from the TA for the first link by utilizing distinct SSBs for each link.</w:t>
      </w:r>
    </w:p>
    <w:p w14:paraId="5733C9EB" w14:textId="77777777" w:rsidR="00FD79E0" w:rsidRDefault="00FD79E0" w:rsidP="00846692">
      <w:r>
        <w:t xml:space="preserve">Also, </w:t>
      </w:r>
      <w:r w:rsidR="00846692">
        <w:t xml:space="preserve">Alt 3 can </w:t>
      </w:r>
      <w:r w:rsidR="00846692" w:rsidRPr="00FD79E0">
        <w:rPr>
          <w:b/>
          <w:bCs/>
        </w:rPr>
        <w:t xml:space="preserve">efficiently handle </w:t>
      </w:r>
      <w:r w:rsidRPr="00FD79E0">
        <w:rPr>
          <w:b/>
          <w:bCs/>
        </w:rPr>
        <w:t xml:space="preserve">the Tx power of </w:t>
      </w:r>
      <w:r w:rsidR="00846692" w:rsidRPr="00FD79E0">
        <w:rPr>
          <w:b/>
          <w:bCs/>
        </w:rPr>
        <w:t>P</w:t>
      </w:r>
      <w:r w:rsidRPr="00FD79E0">
        <w:rPr>
          <w:b/>
          <w:bCs/>
        </w:rPr>
        <w:t>RACH</w:t>
      </w:r>
      <w:r>
        <w:t xml:space="preserve"> </w:t>
      </w:r>
      <w:r w:rsidR="00846692">
        <w:t xml:space="preserve">for setting up the connection of the </w:t>
      </w:r>
      <w:r>
        <w:t>2</w:t>
      </w:r>
      <w:r w:rsidRPr="00FD79E0">
        <w:rPr>
          <w:vertAlign w:val="superscript"/>
        </w:rPr>
        <w:t>nd</w:t>
      </w:r>
      <w:r>
        <w:t xml:space="preserve"> </w:t>
      </w:r>
      <w:r w:rsidR="00846692">
        <w:t xml:space="preserve">link. For instance, in the case of a line-of-sight link as shown in Figure 1(a), the UE can request and receive the Tx power for TRP2 from TRP1, utilizing measured parameters like Rx power from the </w:t>
      </w:r>
      <w:r>
        <w:t>2</w:t>
      </w:r>
      <w:r w:rsidRPr="00FD79E0">
        <w:rPr>
          <w:vertAlign w:val="superscript"/>
        </w:rPr>
        <w:t>nd</w:t>
      </w:r>
      <w:r>
        <w:t xml:space="preserve"> </w:t>
      </w:r>
      <w:r w:rsidR="00846692">
        <w:t xml:space="preserve">link to determine the Tx power for the PRACH. In the case of a multipath link as depicted in Figure 1(b), the UE can determine the Tx power for the PRACH using parameters such as the measured Rx power from the </w:t>
      </w:r>
      <w:r>
        <w:t>2</w:t>
      </w:r>
      <w:r w:rsidRPr="00FD79E0">
        <w:rPr>
          <w:vertAlign w:val="superscript"/>
        </w:rPr>
        <w:t>nd</w:t>
      </w:r>
      <w:r>
        <w:t xml:space="preserve"> </w:t>
      </w:r>
      <w:r w:rsidR="00846692">
        <w:t>link and the previously obtained Tx power of TRP1.</w:t>
      </w:r>
      <w:r>
        <w:t xml:space="preserve"> </w:t>
      </w:r>
      <w:r w:rsidR="00846692">
        <w:t xml:space="preserve">It's important to note that while assuming </w:t>
      </w:r>
      <w:r>
        <w:t xml:space="preserve">a fixed </w:t>
      </w:r>
      <w:r w:rsidR="00846692">
        <w:t>Tx power across all TRPs within a cell can address PRACH power allocation issues, this approach might restrict the flexibility of cell planning. Additionally, in FR2 scenarios, time differences from multiple TRPs might exceed CP, limiting the potential for macro diversity. Therefore, allowing different Tx power levels for each TRP in FR2 scenarios can enhance cell planning flexibility.</w:t>
      </w:r>
    </w:p>
    <w:p w14:paraId="386E4857" w14:textId="645E0D05" w:rsidR="00846692" w:rsidRDefault="00846692" w:rsidP="00846692">
      <w:r>
        <w:t xml:space="preserve">Moreover, Alt 3 is </w:t>
      </w:r>
      <w:r w:rsidRPr="00FD79E0">
        <w:rPr>
          <w:b/>
          <w:bCs/>
        </w:rPr>
        <w:t>effective in mitigating ambiguity when supporting fast mobility through UE-based TA</w:t>
      </w:r>
      <w:r w:rsidR="00FD79E0" w:rsidRPr="00FD79E0">
        <w:rPr>
          <w:b/>
          <w:bCs/>
        </w:rPr>
        <w:t xml:space="preserve"> </w:t>
      </w:r>
      <w:r w:rsidRPr="00FD79E0">
        <w:rPr>
          <w:b/>
          <w:bCs/>
        </w:rPr>
        <w:t>measurements without relying on the RACH</w:t>
      </w:r>
      <w:r>
        <w:t xml:space="preserve">. In such measurements, for the UE to autonomously assign link-specific TA values, it requires information about downlink Tx time differences among the TRPs, in addition to the measurable downlink Rx time differences for each link. This information helps differentiate the TAs of different links. Notably, even in intra-cell scenarios, </w:t>
      </w:r>
      <w:r w:rsidR="00FD79E0">
        <w:t xml:space="preserve">non-ideal </w:t>
      </w:r>
      <w:r>
        <w:t xml:space="preserve">backhaul conditions could lead to varying transmission timings among TRPs. In Alt 3, the ability to identify link-specific TRPs </w:t>
      </w:r>
      <w:r w:rsidRPr="00FD79E0">
        <w:rPr>
          <w:b/>
          <w:bCs/>
        </w:rPr>
        <w:t>circumvents ambiguity related to downlink Tx time differences</w:t>
      </w:r>
      <w:r>
        <w:t>.</w:t>
      </w:r>
    </w:p>
    <w:p w14:paraId="3924920F" w14:textId="77777777" w:rsidR="00846692" w:rsidRDefault="00846692" w:rsidP="00684E37"/>
    <w:p w14:paraId="39F166E5" w14:textId="0E4E5AED" w:rsidR="00E50188" w:rsidRDefault="00E50188" w:rsidP="007D7AD4">
      <w:pPr>
        <w:rPr>
          <w:b/>
        </w:rPr>
      </w:pPr>
      <w:r w:rsidRPr="003161C0">
        <w:rPr>
          <w:b/>
          <w:lang w:eastAsia="zh-CN"/>
        </w:rPr>
        <w:t xml:space="preserve">Observation </w:t>
      </w:r>
      <w:r>
        <w:rPr>
          <w:b/>
          <w:lang w:eastAsia="zh-CN"/>
        </w:rPr>
        <w:t>1</w:t>
      </w:r>
      <w:r w:rsidRPr="003161C0">
        <w:rPr>
          <w:b/>
          <w:lang w:eastAsia="zh-CN"/>
        </w:rPr>
        <w:t>:</w:t>
      </w:r>
      <w:r>
        <w:rPr>
          <w:b/>
          <w:lang w:eastAsia="zh-CN"/>
        </w:rPr>
        <w:t xml:space="preserve"> </w:t>
      </w:r>
      <w:r w:rsidR="00FD79E0" w:rsidRPr="00FD79E0">
        <w:rPr>
          <w:b/>
        </w:rPr>
        <w:t>Alt 3 facilitates the indication of TAG IDs, enhances the efficiency of PRACH power control, and eliminates ambiguity in UE-based TA measurements.</w:t>
      </w:r>
    </w:p>
    <w:p w14:paraId="08DDB4C2" w14:textId="2AC1ABA7" w:rsidR="00C93DEA" w:rsidRPr="00C05CC7" w:rsidRDefault="00C93DEA" w:rsidP="00E50188">
      <w:pPr>
        <w:jc w:val="left"/>
        <w:rPr>
          <w:b/>
        </w:rPr>
      </w:pPr>
    </w:p>
    <w:p w14:paraId="375504A9" w14:textId="2AD11989" w:rsidR="00D55CBC" w:rsidRPr="00EB28A7" w:rsidRDefault="0075697E" w:rsidP="00D55CBC">
      <w:pPr>
        <w:jc w:val="center"/>
      </w:pPr>
      <w:r w:rsidRPr="0075697E">
        <w:rPr>
          <w:noProof/>
        </w:rPr>
        <w:drawing>
          <wp:inline distT="0" distB="0" distL="0" distR="0" wp14:anchorId="32CD5B90" wp14:editId="5F51CF9C">
            <wp:extent cx="5904230" cy="1715770"/>
            <wp:effectExtent l="0" t="0" r="1270" b="0"/>
            <wp:docPr id="10" name="그림 9">
              <a:extLst xmlns:a="http://schemas.openxmlformats.org/drawingml/2006/main">
                <a:ext uri="{FF2B5EF4-FFF2-40B4-BE49-F238E27FC236}">
                  <a16:creationId xmlns:a16="http://schemas.microsoft.com/office/drawing/2014/main" id="{255E212B-2515-4641-B69F-5BA5DA99E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a:extLst>
                        <a:ext uri="{FF2B5EF4-FFF2-40B4-BE49-F238E27FC236}">
                          <a16:creationId xmlns:a16="http://schemas.microsoft.com/office/drawing/2014/main" id="{255E212B-2515-4641-B69F-5BA5DA99E6B6}"/>
                        </a:ext>
                      </a:extLst>
                    </pic:cNvPr>
                    <pic:cNvPicPr>
                      <a:picLocks noChangeAspect="1"/>
                    </pic:cNvPicPr>
                  </pic:nvPicPr>
                  <pic:blipFill>
                    <a:blip r:embed="rId9"/>
                    <a:stretch>
                      <a:fillRect/>
                    </a:stretch>
                  </pic:blipFill>
                  <pic:spPr>
                    <a:xfrm>
                      <a:off x="0" y="0"/>
                      <a:ext cx="5904230" cy="1715770"/>
                    </a:xfrm>
                    <a:prstGeom prst="rect">
                      <a:avLst/>
                    </a:prstGeom>
                  </pic:spPr>
                </pic:pic>
              </a:graphicData>
            </a:graphic>
          </wp:inline>
        </w:drawing>
      </w:r>
    </w:p>
    <w:p w14:paraId="53A09F6F" w14:textId="16C05B40" w:rsidR="00D55CBC" w:rsidRDefault="00D55CBC" w:rsidP="00D55CBC">
      <w:pPr>
        <w:pStyle w:val="a7"/>
        <w:jc w:val="center"/>
      </w:pPr>
      <w:r>
        <w:t>Fig</w:t>
      </w:r>
      <w:r w:rsidR="007D042F">
        <w:t xml:space="preserve">ure </w:t>
      </w:r>
      <w:r>
        <w:t xml:space="preserve">2. </w:t>
      </w:r>
      <w:r w:rsidR="00A763B6">
        <w:t>Operating scenario at Alt 1</w:t>
      </w:r>
      <w:r>
        <w:t>.</w:t>
      </w:r>
    </w:p>
    <w:p w14:paraId="3B7D32B4" w14:textId="0726780C" w:rsidR="00D55CBC" w:rsidRDefault="00D55CBC" w:rsidP="00E50188">
      <w:pPr>
        <w:jc w:val="left"/>
        <w:rPr>
          <w:b/>
        </w:rPr>
      </w:pPr>
    </w:p>
    <w:p w14:paraId="4235A9B7" w14:textId="02659E63" w:rsidR="00FD79E0" w:rsidRPr="00FD79E0" w:rsidRDefault="00FD79E0" w:rsidP="00FD79E0">
      <w:r w:rsidRPr="00FD79E0">
        <w:t>Now turning to Figure 2, corresponding to Alt 1, let's consider a scenario where there are two TRPs within a serving cell, as in Alt 3. However, in Alt 1, each TRP uses all available SSBs, unlike Alt 3 where they are distinct. In other words, in Alt 1, each TRP can utilize the same SSB. It's important to note that Alt 1 has the drawback of consuming reserved bits.</w:t>
      </w:r>
    </w:p>
    <w:p w14:paraId="2218869D" w14:textId="77777777" w:rsidR="00BD78FA" w:rsidRDefault="00FD79E0" w:rsidP="00FD79E0">
      <w:r w:rsidRPr="00FD79E0">
        <w:lastRenderedPageBreak/>
        <w:t xml:space="preserve">Similar to Alt 3, in Alt 1, the UE can obtain the TA value for the </w:t>
      </w:r>
      <w:r w:rsidR="00BD78FA">
        <w:t>1</w:t>
      </w:r>
      <w:r w:rsidR="00BD78FA" w:rsidRPr="00BD78FA">
        <w:rPr>
          <w:vertAlign w:val="superscript"/>
        </w:rPr>
        <w:t>st</w:t>
      </w:r>
      <w:r w:rsidR="00BD78FA">
        <w:t xml:space="preserve"> </w:t>
      </w:r>
      <w:r w:rsidRPr="00FD79E0">
        <w:t xml:space="preserve">link through the RAR message within the legacy RACH procedure. This TA can be denoted as TAG 1. However, in Alt 1, the UE is unaware of which TRP TAG 1 corresponds to. Once the </w:t>
      </w:r>
      <w:r w:rsidR="00BD78FA">
        <w:t>1</w:t>
      </w:r>
      <w:r w:rsidR="00BD78FA" w:rsidRPr="00BD78FA">
        <w:rPr>
          <w:vertAlign w:val="superscript"/>
        </w:rPr>
        <w:t>st</w:t>
      </w:r>
      <w:r w:rsidR="00BD78FA">
        <w:t xml:space="preserve"> </w:t>
      </w:r>
      <w:r w:rsidRPr="00FD79E0">
        <w:t xml:space="preserve">link is established, the UE can obtain the initial TA value for the </w:t>
      </w:r>
      <w:r w:rsidR="00BD78FA">
        <w:t>2</w:t>
      </w:r>
      <w:r w:rsidR="00BD78FA" w:rsidRPr="00BD78FA">
        <w:rPr>
          <w:vertAlign w:val="superscript"/>
        </w:rPr>
        <w:t>nd</w:t>
      </w:r>
      <w:r w:rsidR="00BD78FA">
        <w:t xml:space="preserve"> </w:t>
      </w:r>
      <w:r w:rsidRPr="00FD79E0">
        <w:t xml:space="preserve">link through the CFRA procedure triggered by a PDCCH order, similar to Alt 1. When performing random access to acquire the TA value for the </w:t>
      </w:r>
      <w:r w:rsidR="00BD78FA">
        <w:t>2</w:t>
      </w:r>
      <w:r w:rsidR="00BD78FA" w:rsidRPr="00BD78FA">
        <w:rPr>
          <w:vertAlign w:val="superscript"/>
        </w:rPr>
        <w:t>nd</w:t>
      </w:r>
      <w:r w:rsidR="00BD78FA">
        <w:t xml:space="preserve"> </w:t>
      </w:r>
      <w:r w:rsidRPr="00FD79E0">
        <w:t>link, the UE can avoid confusion about applying the TA command to the correct TAG, thanks to the TAG ID indication included in the RAR.</w:t>
      </w:r>
    </w:p>
    <w:p w14:paraId="20F2E56E" w14:textId="77777777" w:rsidR="00BD78FA" w:rsidRDefault="00FD79E0" w:rsidP="00FD79E0">
      <w:r w:rsidRPr="00FD79E0">
        <w:t xml:space="preserve">However, in Alt 1, the UE </w:t>
      </w:r>
      <w:r w:rsidRPr="00BD78FA">
        <w:rPr>
          <w:b/>
          <w:bCs/>
        </w:rPr>
        <w:t xml:space="preserve">cannot determine whether the </w:t>
      </w:r>
      <w:r w:rsidR="00BD78FA">
        <w:rPr>
          <w:b/>
          <w:bCs/>
        </w:rPr>
        <w:t>2</w:t>
      </w:r>
      <w:r w:rsidR="00BD78FA" w:rsidRPr="00BD78FA">
        <w:rPr>
          <w:b/>
          <w:bCs/>
          <w:vertAlign w:val="superscript"/>
        </w:rPr>
        <w:t>nd</w:t>
      </w:r>
      <w:r w:rsidR="00BD78FA">
        <w:rPr>
          <w:b/>
          <w:bCs/>
        </w:rPr>
        <w:t xml:space="preserve"> </w:t>
      </w:r>
      <w:r w:rsidRPr="00BD78FA">
        <w:rPr>
          <w:b/>
          <w:bCs/>
        </w:rPr>
        <w:t>link belongs to a line-of-sight link (i.e., TRP2 different from TRP1 as shown in Figure 2(a)) or a multipath link (i.e., TRP1 identical to TRP1 as shown in Figure 2(b))</w:t>
      </w:r>
      <w:r w:rsidRPr="00FD79E0">
        <w:t xml:space="preserve">. As a result, there is an ambiguity when the UE attempts to manage the TA for the </w:t>
      </w:r>
      <w:r w:rsidR="00BD78FA">
        <w:t>2</w:t>
      </w:r>
      <w:r w:rsidR="00BD78FA" w:rsidRPr="00BD78FA">
        <w:rPr>
          <w:vertAlign w:val="superscript"/>
        </w:rPr>
        <w:t>nd</w:t>
      </w:r>
      <w:r w:rsidR="00BD78FA">
        <w:t xml:space="preserve"> </w:t>
      </w:r>
      <w:r w:rsidRPr="00FD79E0">
        <w:t xml:space="preserve">link separately from the TA for the </w:t>
      </w:r>
      <w:r w:rsidR="00BD78FA">
        <w:t>1</w:t>
      </w:r>
      <w:r w:rsidR="00BD78FA" w:rsidRPr="00BD78FA">
        <w:rPr>
          <w:vertAlign w:val="superscript"/>
        </w:rPr>
        <w:t>st</w:t>
      </w:r>
      <w:r w:rsidR="00BD78FA">
        <w:t xml:space="preserve"> </w:t>
      </w:r>
      <w:r w:rsidRPr="00FD79E0">
        <w:t>link.</w:t>
      </w:r>
      <w:r w:rsidR="00BD78FA">
        <w:t xml:space="preserve"> </w:t>
      </w:r>
    </w:p>
    <w:p w14:paraId="3E1CEFE9" w14:textId="77777777" w:rsidR="00BD78FA" w:rsidRDefault="00FD79E0" w:rsidP="00FD79E0">
      <w:r w:rsidRPr="00FD79E0">
        <w:t xml:space="preserve">Moreover, Alt 1 could lead to </w:t>
      </w:r>
      <w:r w:rsidRPr="00BD78FA">
        <w:rPr>
          <w:b/>
          <w:bCs/>
        </w:rPr>
        <w:t>inefficiency in terms of PRACH power control</w:t>
      </w:r>
      <w:r w:rsidRPr="00FD79E0">
        <w:t xml:space="preserve"> for establishing the connection of the </w:t>
      </w:r>
      <w:r w:rsidR="00BD78FA">
        <w:t>2</w:t>
      </w:r>
      <w:r w:rsidR="00BD78FA" w:rsidRPr="00BD78FA">
        <w:rPr>
          <w:vertAlign w:val="superscript"/>
        </w:rPr>
        <w:t>nd</w:t>
      </w:r>
      <w:r w:rsidR="00BD78FA">
        <w:t xml:space="preserve"> </w:t>
      </w:r>
      <w:r w:rsidRPr="00FD79E0">
        <w:t xml:space="preserve">link. Since the UE lacks knowledge about whether the </w:t>
      </w:r>
      <w:r w:rsidR="00BD78FA">
        <w:t>2</w:t>
      </w:r>
      <w:r w:rsidR="00BD78FA" w:rsidRPr="00BD78FA">
        <w:rPr>
          <w:vertAlign w:val="superscript"/>
        </w:rPr>
        <w:t>nd</w:t>
      </w:r>
      <w:r w:rsidR="00BD78FA">
        <w:t xml:space="preserve"> </w:t>
      </w:r>
      <w:r w:rsidRPr="00FD79E0">
        <w:t>link belongs to TRP1 or TRP2, it cannot determine whether to request the Tx power for TRP2 from TRP1 or reuse the pre-obtained Tx power from TRP1.</w:t>
      </w:r>
      <w:r w:rsidR="00BD78FA">
        <w:t xml:space="preserve"> </w:t>
      </w:r>
    </w:p>
    <w:p w14:paraId="69D8282B" w14:textId="1AEAD5E8" w:rsidR="00FD79E0" w:rsidRPr="00FD79E0" w:rsidRDefault="00FD79E0" w:rsidP="00FD79E0">
      <w:r w:rsidRPr="00FD79E0">
        <w:t xml:space="preserve">Additionally, Alt 1 is </w:t>
      </w:r>
      <w:r w:rsidRPr="00BD78FA">
        <w:rPr>
          <w:b/>
          <w:bCs/>
        </w:rPr>
        <w:t>inefficient in addressing ambiguity when supporting fast mobility through UE-based TA measurements</w:t>
      </w:r>
      <w:r w:rsidRPr="00FD79E0">
        <w:t xml:space="preserve"> without relying on the RACH. In such cases, the UE requires information about downlink Tx time differences among the TRPs, in addition to the measurable downlink Rx time differences for each link, to autonomously assign link-specific TA values. However, in Alt 1, since identifying link-specific TRPs is not feasible, ambiguity related to downlink Tx time differences remains unresolved.</w:t>
      </w:r>
    </w:p>
    <w:p w14:paraId="58B86E10" w14:textId="36632EFC" w:rsidR="00FD79E0" w:rsidRPr="00FD79E0" w:rsidRDefault="00FD79E0" w:rsidP="00FD79E0"/>
    <w:p w14:paraId="00A1C7A1" w14:textId="6ECB6AE9" w:rsidR="00FE3AFF" w:rsidRPr="00134CF4" w:rsidRDefault="00FE3AFF" w:rsidP="00FE3AFF">
      <w:pPr>
        <w:rPr>
          <w:b/>
        </w:rPr>
      </w:pPr>
      <w:r w:rsidRPr="003161C0">
        <w:rPr>
          <w:b/>
          <w:lang w:eastAsia="zh-CN"/>
        </w:rPr>
        <w:t xml:space="preserve">Observation </w:t>
      </w:r>
      <w:r>
        <w:rPr>
          <w:b/>
          <w:lang w:eastAsia="zh-CN"/>
        </w:rPr>
        <w:t>2</w:t>
      </w:r>
      <w:r w:rsidRPr="003161C0">
        <w:rPr>
          <w:b/>
          <w:lang w:eastAsia="zh-CN"/>
        </w:rPr>
        <w:t>:</w:t>
      </w:r>
      <w:r>
        <w:rPr>
          <w:b/>
          <w:lang w:eastAsia="zh-CN"/>
        </w:rPr>
        <w:t xml:space="preserve"> </w:t>
      </w:r>
      <w:r w:rsidR="00BD78FA" w:rsidRPr="00BD78FA">
        <w:rPr>
          <w:b/>
        </w:rPr>
        <w:t>Alt 1 allows for the indication of TAG IDs; however, it could potentially introduce ambiguity regarding the determination of PRACH's Tx power and the support for UE-based TA measurements.</w:t>
      </w:r>
    </w:p>
    <w:p w14:paraId="21D7303D" w14:textId="5680B2A7" w:rsidR="00134CF4" w:rsidRDefault="00134CF4" w:rsidP="007D7AD4"/>
    <w:p w14:paraId="2252833E" w14:textId="398963F2" w:rsidR="00BD78FA" w:rsidRDefault="00BD78FA" w:rsidP="00BD78FA">
      <w:r>
        <w:t>In the preceding discussions, both Alt 3 and Alt 1 offer the option of TAG ID indication. Opting for Alt 3 enables the UE to acquire the TAG ID without the need for any reserved bits in the RAR</w:t>
      </w:r>
      <w:r>
        <w:t>/PDCCH</w:t>
      </w:r>
      <w:r>
        <w:t>.</w:t>
      </w:r>
      <w:r>
        <w:t xml:space="preserve"> </w:t>
      </w:r>
      <w:r>
        <w:t xml:space="preserve">Moreover, this choice brings the benefits of better determination of </w:t>
      </w:r>
      <w:r>
        <w:t xml:space="preserve">Tx </w:t>
      </w:r>
      <w:r>
        <w:t xml:space="preserve">Power for </w:t>
      </w:r>
      <w:r>
        <w:t>t</w:t>
      </w:r>
      <w:r>
        <w:t>he PRACH and efficient support for fast mobility through UE-based TA measurements.</w:t>
      </w:r>
      <w:r>
        <w:t xml:space="preserve"> </w:t>
      </w:r>
      <w:r>
        <w:t>Conversely, should Alt 1 be chosen, the UE would be required to utilize some of the reserved bits in the RAR/PDCCH, potentially leading to an impact on the specifications. Moreover, Alt 1 could pose challenges in realizing the additional advantages highlighted in Alt 3. As a result, we recommend the adoption of Alt 3.</w:t>
      </w:r>
    </w:p>
    <w:p w14:paraId="5135278D" w14:textId="77777777" w:rsidR="00BD78FA" w:rsidRDefault="00BD78FA" w:rsidP="007D7AD4">
      <w:pPr>
        <w:rPr>
          <w:rFonts w:hint="eastAsia"/>
        </w:rPr>
      </w:pPr>
    </w:p>
    <w:p w14:paraId="6AF83280" w14:textId="215E8625" w:rsidR="00E50188" w:rsidRDefault="00E50188" w:rsidP="007D7AD4">
      <w:pPr>
        <w:rPr>
          <w:b/>
          <w:lang w:eastAsia="zh-CN"/>
        </w:rPr>
      </w:pPr>
      <w:r w:rsidRPr="004636C3">
        <w:rPr>
          <w:b/>
          <w:lang w:eastAsia="zh-CN"/>
        </w:rPr>
        <w:t>Prop</w:t>
      </w:r>
      <w:r w:rsidRPr="001132A2">
        <w:rPr>
          <w:b/>
          <w:lang w:eastAsia="zh-CN"/>
        </w:rPr>
        <w:t xml:space="preserve">osal </w:t>
      </w:r>
      <w:r w:rsidR="00570330">
        <w:rPr>
          <w:b/>
          <w:lang w:eastAsia="zh-CN"/>
        </w:rPr>
        <w:t>1</w:t>
      </w:r>
      <w:r w:rsidRPr="004636C3">
        <w:rPr>
          <w:b/>
          <w:lang w:eastAsia="zh-CN"/>
        </w:rPr>
        <w:t xml:space="preserve">: </w:t>
      </w:r>
      <w:r w:rsidR="00BD78FA" w:rsidRPr="00BD78FA">
        <w:rPr>
          <w:b/>
        </w:rPr>
        <w:t xml:space="preserve">We </w:t>
      </w:r>
      <w:r w:rsidR="00BD78FA">
        <w:rPr>
          <w:b/>
        </w:rPr>
        <w:t xml:space="preserve">proposing supporting </w:t>
      </w:r>
      <w:r w:rsidR="00BD78FA" w:rsidRPr="00BD78FA">
        <w:rPr>
          <w:b/>
        </w:rPr>
        <w:t>Alt 3, wherein the UE can indicate whether the TAG ID corresponds to a TRP distinct from TRP1 or aligns with TRP1. This specification empowers the UE to adeptly manage PRACH power control and RACH-less UE-based TA measurements.</w:t>
      </w:r>
    </w:p>
    <w:p w14:paraId="30B10367" w14:textId="424CFED3" w:rsidR="002C79FB" w:rsidRDefault="002C79FB" w:rsidP="00CE142D">
      <w:pPr>
        <w:jc w:val="left"/>
        <w:rPr>
          <w:rFonts w:eastAsiaTheme="minorEastAsia"/>
          <w:color w:val="0070C0"/>
          <w:sz w:val="24"/>
          <w:szCs w:val="24"/>
        </w:rPr>
      </w:pPr>
    </w:p>
    <w:p w14:paraId="1ED8C623" w14:textId="77777777" w:rsidR="00BD78FA" w:rsidRPr="003C4412" w:rsidRDefault="00BD78FA" w:rsidP="00CE142D">
      <w:pPr>
        <w:jc w:val="left"/>
        <w:rPr>
          <w:rFonts w:eastAsiaTheme="minorEastAsia" w:hint="eastAsia"/>
          <w:color w:val="0070C0"/>
          <w:sz w:val="24"/>
          <w:szCs w:val="24"/>
        </w:rPr>
      </w:pPr>
    </w:p>
    <w:p w14:paraId="558954E0" w14:textId="1A702C07" w:rsidR="00D44F08" w:rsidRDefault="00D44F08" w:rsidP="00CE142D">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sidR="00EA6501">
        <w:rPr>
          <w:rFonts w:ascii="Arial" w:eastAsia="Times New Roman" w:hAnsi="Arial"/>
          <w:sz w:val="28"/>
          <w:szCs w:val="20"/>
          <w:lang w:eastAsia="ja-JP"/>
        </w:rPr>
        <w:t>2</w:t>
      </w:r>
      <w:r w:rsidRPr="0033397B">
        <w:rPr>
          <w:rFonts w:ascii="Arial" w:eastAsia="Times New Roman" w:hAnsi="Arial"/>
          <w:sz w:val="28"/>
          <w:szCs w:val="20"/>
          <w:lang w:eastAsia="ja-JP"/>
        </w:rPr>
        <w:t xml:space="preserve"> </w:t>
      </w:r>
      <w:r w:rsidR="00822577" w:rsidRPr="00822577">
        <w:rPr>
          <w:rFonts w:ascii="Arial" w:eastAsia="Times New Roman" w:hAnsi="Arial"/>
          <w:sz w:val="28"/>
          <w:szCs w:val="20"/>
          <w:lang w:eastAsia="ja-JP"/>
        </w:rPr>
        <w:t>RAR-less TA indication</w:t>
      </w:r>
    </w:p>
    <w:p w14:paraId="0D3C9036" w14:textId="77777777" w:rsidR="00DA1A7E" w:rsidRDefault="00DA1A7E" w:rsidP="00CE142D">
      <w:pPr>
        <w:jc w:val="left"/>
        <w:rPr>
          <w:iCs/>
          <w:sz w:val="24"/>
          <w:szCs w:val="24"/>
          <w:lang w:eastAsia="ja-JP"/>
        </w:rPr>
      </w:pPr>
    </w:p>
    <w:p w14:paraId="11A19C5C" w14:textId="205285FF" w:rsidR="00DA1A7E" w:rsidRPr="00013894" w:rsidRDefault="00EA6501" w:rsidP="00CE142D">
      <w:pPr>
        <w:jc w:val="left"/>
        <w:rPr>
          <w:rFonts w:eastAsia="MS Mincho"/>
          <w:iCs/>
          <w:lang w:eastAsia="ja-JP"/>
        </w:rPr>
      </w:pPr>
      <w:r w:rsidRPr="00EA6501">
        <w:rPr>
          <w:iCs/>
          <w:lang w:eastAsia="ja-JP"/>
        </w:rPr>
        <w:t>In RAN1#112bis-e, the following agreement was made:</w:t>
      </w:r>
    </w:p>
    <w:tbl>
      <w:tblPr>
        <w:tblStyle w:val="a9"/>
        <w:tblW w:w="0" w:type="auto"/>
        <w:tblLook w:val="04A0" w:firstRow="1" w:lastRow="0" w:firstColumn="1" w:lastColumn="0" w:noHBand="0" w:noVBand="1"/>
      </w:tblPr>
      <w:tblGrid>
        <w:gridCol w:w="9288"/>
      </w:tblGrid>
      <w:tr w:rsidR="00D44F08" w14:paraId="70D7253D" w14:textId="77777777" w:rsidTr="00D44F08">
        <w:tc>
          <w:tcPr>
            <w:tcW w:w="9288" w:type="dxa"/>
          </w:tcPr>
          <w:p w14:paraId="3046DA62" w14:textId="77777777" w:rsidR="00EA6501" w:rsidRDefault="00EA6501" w:rsidP="00EA6501">
            <w:pPr>
              <w:rPr>
                <w:b/>
                <w:highlight w:val="green"/>
                <w:lang w:eastAsia="zh-CN"/>
              </w:rPr>
            </w:pPr>
            <w:r>
              <w:rPr>
                <w:b/>
                <w:highlight w:val="green"/>
                <w:lang w:eastAsia="zh-CN"/>
              </w:rPr>
              <w:t>Agreement</w:t>
            </w:r>
          </w:p>
          <w:p w14:paraId="2934BD9D" w14:textId="77777777" w:rsidR="00EA6501" w:rsidRDefault="00EA6501" w:rsidP="00EA6501">
            <w:pPr>
              <w:rPr>
                <w:color w:val="000000"/>
                <w:kern w:val="24"/>
                <w:szCs w:val="20"/>
                <w:lang w:eastAsia="fr-FR"/>
              </w:rPr>
            </w:pPr>
            <w:r>
              <w:rPr>
                <w:color w:val="000000"/>
                <w:kern w:val="24"/>
                <w:szCs w:val="20"/>
                <w:lang w:eastAsia="fr-FR"/>
              </w:rPr>
              <w:t xml:space="preserve">For multi-DCI based </w:t>
            </w:r>
            <w:proofErr w:type="gramStart"/>
            <w:r>
              <w:rPr>
                <w:color w:val="000000"/>
                <w:kern w:val="24"/>
                <w:szCs w:val="20"/>
                <w:lang w:eastAsia="fr-FR"/>
              </w:rPr>
              <w:t>Multi-TRP</w:t>
            </w:r>
            <w:proofErr w:type="gramEnd"/>
            <w:r>
              <w:rPr>
                <w:color w:val="000000"/>
                <w:kern w:val="24"/>
                <w:szCs w:val="20"/>
                <w:lang w:eastAsia="fr-FR"/>
              </w:rPr>
              <w:t xml:space="preserve"> operation with two TA enhancement, support at least RAR-based </w:t>
            </w:r>
            <w:r>
              <w:rPr>
                <w:color w:val="000000"/>
                <w:kern w:val="24"/>
                <w:szCs w:val="20"/>
                <w:lang w:eastAsia="fr-FR"/>
              </w:rPr>
              <w:lastRenderedPageBreak/>
              <w:t>solution where RAR is only received from a TRP that is associated with Type 1 CSS</w:t>
            </w:r>
          </w:p>
          <w:p w14:paraId="675B0BF8" w14:textId="77777777" w:rsidR="00EA6501" w:rsidRDefault="00EA6501" w:rsidP="00EA6501">
            <w:pPr>
              <w:pStyle w:val="a4"/>
              <w:widowControl/>
              <w:numPr>
                <w:ilvl w:val="0"/>
                <w:numId w:val="35"/>
              </w:numPr>
              <w:autoSpaceDE/>
              <w:autoSpaceDN/>
              <w:spacing w:after="0"/>
              <w:ind w:leftChars="0"/>
              <w:contextualSpacing/>
              <w:jc w:val="left"/>
              <w:rPr>
                <w:szCs w:val="20"/>
                <w:lang w:eastAsia="ja-JP"/>
              </w:rPr>
            </w:pPr>
            <w:r>
              <w:rPr>
                <w:szCs w:val="20"/>
                <w:lang w:eastAsia="ja-JP"/>
              </w:rPr>
              <w:t>RAR based</w:t>
            </w:r>
          </w:p>
          <w:p w14:paraId="2AE7246D" w14:textId="77777777" w:rsidR="00EA6501" w:rsidRDefault="00EA6501" w:rsidP="00EA6501">
            <w:pPr>
              <w:pStyle w:val="a4"/>
              <w:widowControl/>
              <w:numPr>
                <w:ilvl w:val="0"/>
                <w:numId w:val="35"/>
              </w:numPr>
              <w:autoSpaceDE/>
              <w:autoSpaceDN/>
              <w:spacing w:after="0"/>
              <w:ind w:leftChars="0"/>
              <w:contextualSpacing/>
              <w:rPr>
                <w:rFonts w:eastAsia="Microsoft YaHei UI Light"/>
                <w:szCs w:val="20"/>
              </w:rPr>
            </w:pPr>
            <w:r>
              <w:rPr>
                <w:rFonts w:eastAsia="Microsoft YaHei UI Light"/>
                <w:szCs w:val="20"/>
              </w:rPr>
              <w:t xml:space="preserve">FFS: RAR-less solution reusing the solution agreed in Rel-18 Mobility </w:t>
            </w:r>
            <w:proofErr w:type="spellStart"/>
            <w:r>
              <w:rPr>
                <w:rFonts w:eastAsia="Microsoft YaHei UI Light"/>
                <w:szCs w:val="20"/>
              </w:rPr>
              <w:t>Enh</w:t>
            </w:r>
            <w:proofErr w:type="spellEnd"/>
          </w:p>
          <w:p w14:paraId="45267EB1" w14:textId="62C164DA" w:rsidR="00D44F08" w:rsidRPr="00EA6501" w:rsidRDefault="00D44F08" w:rsidP="002759FA">
            <w:pPr>
              <w:spacing w:after="0"/>
              <w:jc w:val="left"/>
            </w:pPr>
          </w:p>
        </w:tc>
      </w:tr>
    </w:tbl>
    <w:p w14:paraId="4698A718" w14:textId="1BE09E78" w:rsidR="00D44F08" w:rsidRDefault="00D44F08" w:rsidP="00CE142D">
      <w:pPr>
        <w:jc w:val="left"/>
      </w:pPr>
    </w:p>
    <w:p w14:paraId="5B873F47" w14:textId="4A715D91" w:rsidR="006F7243" w:rsidRDefault="00BD7FC6" w:rsidP="00714DE1">
      <w:r w:rsidRPr="00BD7FC6">
        <w:t xml:space="preserve">In Rel-18 Mobility </w:t>
      </w:r>
      <w:proofErr w:type="spellStart"/>
      <w:r w:rsidRPr="00BD7FC6">
        <w:t>Enh</w:t>
      </w:r>
      <w:proofErr w:type="spellEnd"/>
      <w:r w:rsidRPr="00BD7FC6">
        <w:t xml:space="preserve">, it was agreed to </w:t>
      </w:r>
      <w:r w:rsidR="00FC070C">
        <w:t xml:space="preserve">use an MAC CE to carry absolute TA command </w:t>
      </w:r>
      <w:r w:rsidRPr="00BD7FC6">
        <w:t xml:space="preserve">as a RAR-less solution. </w:t>
      </w:r>
      <w:r w:rsidR="006F7243">
        <w:t xml:space="preserve">The RAR-less solution </w:t>
      </w:r>
      <w:r w:rsidRPr="00BD7FC6">
        <w:t>allow</w:t>
      </w:r>
      <w:r w:rsidR="006F7243">
        <w:t>s</w:t>
      </w:r>
      <w:r w:rsidRPr="00BD7FC6">
        <w:t xml:space="preserve"> TA to be inserted into the existing Absolute TA command in order to deviate from the restriction that RAR must receive from the TRP associated with Type 1 CSS. In this case, the Absolute TA command can be received from the TRP that sent the PDCCH order.</w:t>
      </w:r>
    </w:p>
    <w:p w14:paraId="29BACF53" w14:textId="77777777" w:rsidR="006F7243" w:rsidRDefault="006F7243" w:rsidP="00714DE1"/>
    <w:p w14:paraId="28D63C85" w14:textId="609BCBB3" w:rsidR="00FF3577" w:rsidRDefault="00FF3577">
      <w:pPr>
        <w:rPr>
          <w:b/>
        </w:rPr>
      </w:pPr>
      <w:r w:rsidRPr="003161C0">
        <w:rPr>
          <w:b/>
          <w:lang w:eastAsia="zh-CN"/>
        </w:rPr>
        <w:t xml:space="preserve">Observation </w:t>
      </w:r>
      <w:r w:rsidR="00BD7FC6">
        <w:rPr>
          <w:b/>
          <w:lang w:eastAsia="zh-CN"/>
        </w:rPr>
        <w:t>3</w:t>
      </w:r>
      <w:r w:rsidRPr="003161C0">
        <w:rPr>
          <w:b/>
          <w:lang w:eastAsia="zh-CN"/>
        </w:rPr>
        <w:t>:</w:t>
      </w:r>
      <w:r>
        <w:rPr>
          <w:b/>
          <w:lang w:eastAsia="zh-CN"/>
        </w:rPr>
        <w:t xml:space="preserve"> </w:t>
      </w:r>
      <w:r w:rsidR="006F7243">
        <w:rPr>
          <w:b/>
          <w:lang w:eastAsia="zh-CN"/>
        </w:rPr>
        <w:t>T</w:t>
      </w:r>
      <w:r w:rsidR="00BD7FC6">
        <w:rPr>
          <w:rFonts w:hint="eastAsia"/>
          <w:b/>
        </w:rPr>
        <w:t>he</w:t>
      </w:r>
      <w:r w:rsidR="006F7243">
        <w:rPr>
          <w:b/>
        </w:rPr>
        <w:t xml:space="preserve"> Absolute TA command based</w:t>
      </w:r>
      <w:r w:rsidR="00FE1C9F">
        <w:rPr>
          <w:b/>
        </w:rPr>
        <w:t xml:space="preserve"> RAR-less</w:t>
      </w:r>
      <w:r w:rsidR="006F7243">
        <w:rPr>
          <w:b/>
        </w:rPr>
        <w:t xml:space="preserve"> </w:t>
      </w:r>
      <w:r w:rsidR="00BD7FC6">
        <w:rPr>
          <w:b/>
        </w:rPr>
        <w:t>solution</w:t>
      </w:r>
      <w:r w:rsidR="00BD7FC6">
        <w:rPr>
          <w:rFonts w:hint="eastAsia"/>
          <w:b/>
        </w:rPr>
        <w:t xml:space="preserve"> </w:t>
      </w:r>
      <w:r w:rsidR="00BD7FC6">
        <w:rPr>
          <w:b/>
        </w:rPr>
        <w:t xml:space="preserve">agreed in Rel-18 Mobility </w:t>
      </w:r>
      <w:proofErr w:type="spellStart"/>
      <w:r w:rsidR="00BD7FC6">
        <w:rPr>
          <w:b/>
        </w:rPr>
        <w:t>Enh</w:t>
      </w:r>
      <w:proofErr w:type="spellEnd"/>
      <w:r w:rsidR="006F7243">
        <w:rPr>
          <w:b/>
        </w:rPr>
        <w:t xml:space="preserve"> can be reused when RAR is not configured</w:t>
      </w:r>
      <w:r w:rsidR="00FE1C9F">
        <w:rPr>
          <w:b/>
        </w:rPr>
        <w:t xml:space="preserve">, where </w:t>
      </w:r>
      <w:r w:rsidR="00FE1C9F" w:rsidRPr="00FE1C9F">
        <w:rPr>
          <w:b/>
        </w:rPr>
        <w:t>the Absolute TA command is received from the TRP that sent the PDCCH order</w:t>
      </w:r>
      <w:r w:rsidR="00BD7FC6">
        <w:rPr>
          <w:b/>
        </w:rPr>
        <w:t>.</w:t>
      </w:r>
    </w:p>
    <w:p w14:paraId="16C0460B" w14:textId="77777777" w:rsidR="000174D4" w:rsidRPr="006F7243" w:rsidRDefault="000174D4" w:rsidP="00714DE1">
      <w:pPr>
        <w:rPr>
          <w:b/>
        </w:rPr>
      </w:pPr>
    </w:p>
    <w:p w14:paraId="7A8BA550" w14:textId="4C72AA1F" w:rsidR="00FF3577" w:rsidRDefault="00FF3577" w:rsidP="00714DE1">
      <w:r>
        <w:rPr>
          <w:b/>
          <w:lang w:eastAsia="zh-CN"/>
        </w:rPr>
        <w:t>Proposal</w:t>
      </w:r>
      <w:r w:rsidRPr="003161C0">
        <w:rPr>
          <w:b/>
          <w:lang w:eastAsia="zh-CN"/>
        </w:rPr>
        <w:t xml:space="preserve"> </w:t>
      </w:r>
      <w:r w:rsidR="00570330">
        <w:rPr>
          <w:b/>
          <w:lang w:eastAsia="zh-CN"/>
        </w:rPr>
        <w:t>2</w:t>
      </w:r>
      <w:r w:rsidRPr="003161C0">
        <w:rPr>
          <w:b/>
          <w:lang w:eastAsia="zh-CN"/>
        </w:rPr>
        <w:t>:</w:t>
      </w:r>
      <w:r>
        <w:rPr>
          <w:b/>
          <w:lang w:eastAsia="zh-CN"/>
        </w:rPr>
        <w:t xml:space="preserve"> </w:t>
      </w:r>
      <w:r w:rsidR="00BD7FC6">
        <w:rPr>
          <w:b/>
        </w:rPr>
        <w:t xml:space="preserve">We support reusing the solution agreed in </w:t>
      </w:r>
      <w:r w:rsidR="00BD7FC6" w:rsidRPr="00BD7FC6">
        <w:rPr>
          <w:b/>
        </w:rPr>
        <w:t xml:space="preserve">Rel-18 Mobility </w:t>
      </w:r>
      <w:proofErr w:type="spellStart"/>
      <w:r w:rsidR="00BD7FC6" w:rsidRPr="00BD7FC6">
        <w:rPr>
          <w:b/>
        </w:rPr>
        <w:t>Enh</w:t>
      </w:r>
      <w:proofErr w:type="spellEnd"/>
      <w:r w:rsidR="00FE1C9F">
        <w:rPr>
          <w:b/>
        </w:rPr>
        <w:t xml:space="preserve">, where </w:t>
      </w:r>
      <w:r w:rsidR="004767DA">
        <w:rPr>
          <w:b/>
        </w:rPr>
        <w:t xml:space="preserve">a TRP sending the PDCCH order should transmit </w:t>
      </w:r>
      <w:r w:rsidR="00372445">
        <w:rPr>
          <w:b/>
        </w:rPr>
        <w:t>the Absolute TA command to UE</w:t>
      </w:r>
      <w:r w:rsidR="004767DA">
        <w:rPr>
          <w:b/>
        </w:rPr>
        <w:t>.</w:t>
      </w:r>
    </w:p>
    <w:p w14:paraId="59D2BEC5" w14:textId="77777777" w:rsidR="00680C3C" w:rsidRPr="00FE1C9F" w:rsidRDefault="00680C3C" w:rsidP="00CE142D">
      <w:pPr>
        <w:jc w:val="left"/>
      </w:pPr>
    </w:p>
    <w:p w14:paraId="15D66421" w14:textId="3B44F771" w:rsidR="00372445" w:rsidRDefault="00372445" w:rsidP="00372445">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Pr>
          <w:rFonts w:ascii="Arial" w:eastAsia="Times New Roman" w:hAnsi="Arial"/>
          <w:sz w:val="28"/>
          <w:szCs w:val="20"/>
          <w:lang w:eastAsia="ja-JP"/>
        </w:rPr>
        <w:t>3</w:t>
      </w:r>
      <w:r w:rsidRPr="0033397B">
        <w:rPr>
          <w:rFonts w:ascii="Arial" w:eastAsia="Times New Roman" w:hAnsi="Arial"/>
          <w:sz w:val="28"/>
          <w:szCs w:val="20"/>
          <w:lang w:eastAsia="ja-JP"/>
        </w:rPr>
        <w:t xml:space="preserve"> </w:t>
      </w:r>
      <w:r w:rsidRPr="00372445">
        <w:rPr>
          <w:rFonts w:ascii="Arial" w:eastAsia="Times New Roman" w:hAnsi="Arial"/>
          <w:sz w:val="28"/>
          <w:szCs w:val="20"/>
          <w:lang w:eastAsia="ja-JP"/>
        </w:rPr>
        <w:t>PRACH Power Control</w:t>
      </w:r>
    </w:p>
    <w:p w14:paraId="5CCC0454" w14:textId="77777777" w:rsidR="00372445" w:rsidRDefault="00372445" w:rsidP="00372445">
      <w:pPr>
        <w:jc w:val="left"/>
        <w:rPr>
          <w:iCs/>
          <w:sz w:val="24"/>
          <w:szCs w:val="24"/>
          <w:lang w:eastAsia="ja-JP"/>
        </w:rPr>
      </w:pPr>
    </w:p>
    <w:p w14:paraId="19CEE927" w14:textId="70EAB767" w:rsidR="00372445" w:rsidRPr="00013894" w:rsidRDefault="00372445" w:rsidP="00372445">
      <w:pPr>
        <w:jc w:val="left"/>
        <w:rPr>
          <w:rFonts w:eastAsia="MS Mincho"/>
          <w:iCs/>
          <w:lang w:eastAsia="ja-JP"/>
        </w:rPr>
      </w:pPr>
      <w:r w:rsidRPr="00EA6501">
        <w:rPr>
          <w:iCs/>
          <w:lang w:eastAsia="ja-JP"/>
        </w:rPr>
        <w:t xml:space="preserve">In RAN1#112bis-e, the following </w:t>
      </w:r>
      <w:r>
        <w:rPr>
          <w:iCs/>
          <w:lang w:eastAsia="ja-JP"/>
        </w:rPr>
        <w:t>working assumption</w:t>
      </w:r>
      <w:r w:rsidRPr="00EA6501">
        <w:rPr>
          <w:iCs/>
          <w:lang w:eastAsia="ja-JP"/>
        </w:rPr>
        <w:t xml:space="preserve"> was made:</w:t>
      </w:r>
    </w:p>
    <w:tbl>
      <w:tblPr>
        <w:tblStyle w:val="a9"/>
        <w:tblW w:w="0" w:type="auto"/>
        <w:tblLook w:val="04A0" w:firstRow="1" w:lastRow="0" w:firstColumn="1" w:lastColumn="0" w:noHBand="0" w:noVBand="1"/>
      </w:tblPr>
      <w:tblGrid>
        <w:gridCol w:w="9288"/>
      </w:tblGrid>
      <w:tr w:rsidR="00372445" w14:paraId="37084F05" w14:textId="77777777" w:rsidTr="001939C8">
        <w:tc>
          <w:tcPr>
            <w:tcW w:w="9288" w:type="dxa"/>
          </w:tcPr>
          <w:p w14:paraId="2EC1450F" w14:textId="77777777" w:rsidR="00372445" w:rsidRDefault="00372445" w:rsidP="00372445">
            <w:pPr>
              <w:rPr>
                <w:b/>
                <w:highlight w:val="green"/>
                <w:lang w:eastAsia="zh-CN"/>
              </w:rPr>
            </w:pPr>
            <w:r>
              <w:rPr>
                <w:b/>
                <w:highlight w:val="green"/>
                <w:lang w:eastAsia="zh-CN"/>
              </w:rPr>
              <w:t>Agreement</w:t>
            </w:r>
          </w:p>
          <w:p w14:paraId="47831EC0" w14:textId="77777777" w:rsidR="00372445" w:rsidRPr="00372445" w:rsidRDefault="00372445" w:rsidP="00372445">
            <w:pPr>
              <w:rPr>
                <w:color w:val="000000"/>
                <w:kern w:val="24"/>
                <w:szCs w:val="20"/>
                <w:lang w:eastAsia="fr-FR"/>
              </w:rPr>
            </w:pPr>
            <w:r w:rsidRPr="00372445">
              <w:rPr>
                <w:color w:val="000000"/>
                <w:kern w:val="24"/>
                <w:szCs w:val="20"/>
                <w:lang w:eastAsia="fr-FR"/>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1C02EB44" w14:textId="77777777" w:rsidR="00372445" w:rsidRPr="00372445" w:rsidRDefault="00372445" w:rsidP="001939C8">
            <w:pPr>
              <w:spacing w:after="0"/>
              <w:jc w:val="left"/>
              <w:rPr>
                <w:lang w:val="en-US"/>
              </w:rPr>
            </w:pPr>
          </w:p>
        </w:tc>
      </w:tr>
    </w:tbl>
    <w:p w14:paraId="54CC38F3" w14:textId="77777777" w:rsidR="00372445" w:rsidRDefault="00372445" w:rsidP="00372445">
      <w:pPr>
        <w:jc w:val="left"/>
      </w:pPr>
    </w:p>
    <w:p w14:paraId="39B19CB7" w14:textId="0D975CFC" w:rsidR="00372445" w:rsidRPr="00E24342" w:rsidRDefault="00E24342" w:rsidP="00372445">
      <w:r w:rsidRPr="00E24342">
        <w:t>Since the UE is not connected to another TRP, it has no choice but to calculate PRACH transmission power using SSB transmitted from anothe</w:t>
      </w:r>
      <w:r>
        <w:t>r TRP as PL-RS. However, if an</w:t>
      </w:r>
      <w:r w:rsidRPr="00E24342">
        <w:t xml:space="preserve">other TRP is an inter-cell case with a different PCI from the </w:t>
      </w:r>
      <w:r w:rsidRPr="00372445">
        <w:rPr>
          <w:color w:val="000000"/>
          <w:kern w:val="24"/>
          <w:szCs w:val="20"/>
          <w:lang w:eastAsia="fr-FR"/>
        </w:rPr>
        <w:t xml:space="preserve">TRP </w:t>
      </w:r>
      <w:r>
        <w:rPr>
          <w:color w:val="000000"/>
          <w:kern w:val="24"/>
          <w:szCs w:val="20"/>
          <w:lang w:eastAsia="fr-FR"/>
        </w:rPr>
        <w:t>sending PDCCH order</w:t>
      </w:r>
      <w:r w:rsidRPr="00E24342">
        <w:t>, and SIB1 does not exist in the receiving SSB, the UE cannot calculate the transmission power of the UE cannot calculate the transmission power of the PRACH. Therefore, in this case, the transmission power of another TRP should be included in the PDCCH order.</w:t>
      </w:r>
    </w:p>
    <w:p w14:paraId="67B939E2" w14:textId="77777777" w:rsidR="00372445" w:rsidRPr="006566C1" w:rsidRDefault="00372445" w:rsidP="00372445">
      <w:pPr>
        <w:rPr>
          <w:b/>
        </w:rPr>
      </w:pPr>
    </w:p>
    <w:p w14:paraId="214C05EC" w14:textId="2A5B3A4E" w:rsidR="00372445" w:rsidRDefault="00372445" w:rsidP="00E24342">
      <w:pPr>
        <w:rPr>
          <w:b/>
          <w:lang w:eastAsia="zh-CN"/>
        </w:rPr>
      </w:pPr>
      <w:r>
        <w:rPr>
          <w:b/>
          <w:lang w:eastAsia="zh-CN"/>
        </w:rPr>
        <w:t>Proposal</w:t>
      </w:r>
      <w:r w:rsidRPr="003161C0">
        <w:rPr>
          <w:b/>
          <w:lang w:eastAsia="zh-CN"/>
        </w:rPr>
        <w:t xml:space="preserve"> </w:t>
      </w:r>
      <w:r w:rsidR="00570330">
        <w:rPr>
          <w:b/>
          <w:lang w:eastAsia="zh-CN"/>
        </w:rPr>
        <w:t>3</w:t>
      </w:r>
      <w:r w:rsidRPr="003161C0">
        <w:rPr>
          <w:b/>
          <w:lang w:eastAsia="zh-CN"/>
        </w:rPr>
        <w:t>:</w:t>
      </w:r>
      <w:r>
        <w:rPr>
          <w:b/>
          <w:lang w:eastAsia="zh-CN"/>
        </w:rPr>
        <w:t xml:space="preserve"> </w:t>
      </w:r>
      <w:r w:rsidR="00E24342">
        <w:rPr>
          <w:b/>
          <w:lang w:eastAsia="zh-CN"/>
        </w:rPr>
        <w:t>T</w:t>
      </w:r>
      <w:r w:rsidR="00E24342" w:rsidRPr="00E24342">
        <w:rPr>
          <w:b/>
          <w:lang w:eastAsia="zh-CN"/>
        </w:rPr>
        <w:t xml:space="preserve">he transmission power of another TRP </w:t>
      </w:r>
      <w:r w:rsidR="00E24342">
        <w:rPr>
          <w:b/>
          <w:lang w:eastAsia="zh-CN"/>
        </w:rPr>
        <w:t xml:space="preserve">with different PCI from the TRP sending PDCCH order </w:t>
      </w:r>
      <w:r w:rsidR="00E24342" w:rsidRPr="00E24342">
        <w:rPr>
          <w:b/>
          <w:lang w:eastAsia="zh-CN"/>
        </w:rPr>
        <w:t>should</w:t>
      </w:r>
      <w:r w:rsidR="00E24342">
        <w:rPr>
          <w:b/>
          <w:lang w:eastAsia="zh-CN"/>
        </w:rPr>
        <w:t xml:space="preserve"> be included in the PDCCH order in order for UE to calculate </w:t>
      </w:r>
      <w:r w:rsidR="00E24342" w:rsidRPr="00E24342">
        <w:rPr>
          <w:b/>
          <w:lang w:eastAsia="zh-CN"/>
        </w:rPr>
        <w:t>the transmit power of the PRACH transmission</w:t>
      </w:r>
      <w:r w:rsidR="00E24342">
        <w:rPr>
          <w:b/>
          <w:lang w:eastAsia="zh-CN"/>
        </w:rPr>
        <w:t>.</w:t>
      </w:r>
    </w:p>
    <w:p w14:paraId="666D92E0" w14:textId="30AD165D" w:rsidR="00E24342" w:rsidRDefault="00E24342" w:rsidP="00E24342">
      <w:pPr>
        <w:rPr>
          <w:b/>
          <w:lang w:eastAsia="zh-CN"/>
        </w:rPr>
      </w:pPr>
    </w:p>
    <w:p w14:paraId="6E96A513" w14:textId="4CEB4A85" w:rsidR="00E24342" w:rsidRDefault="00E24342" w:rsidP="00E24342">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Pr>
          <w:rFonts w:ascii="Arial" w:eastAsia="Times New Roman" w:hAnsi="Arial"/>
          <w:sz w:val="28"/>
          <w:szCs w:val="20"/>
          <w:lang w:eastAsia="ja-JP"/>
        </w:rPr>
        <w:t>4</w:t>
      </w:r>
      <w:r w:rsidRPr="0033397B">
        <w:rPr>
          <w:rFonts w:ascii="Arial" w:eastAsia="Times New Roman" w:hAnsi="Arial"/>
          <w:sz w:val="28"/>
          <w:szCs w:val="20"/>
          <w:lang w:eastAsia="ja-JP"/>
        </w:rPr>
        <w:t xml:space="preserve"> </w:t>
      </w:r>
      <w:r w:rsidRPr="00E24342">
        <w:rPr>
          <w:rFonts w:ascii="Arial" w:eastAsia="Times New Roman" w:hAnsi="Arial"/>
          <w:sz w:val="28"/>
          <w:szCs w:val="20"/>
          <w:lang w:eastAsia="ja-JP"/>
        </w:rPr>
        <w:t>QCL of PDCCH/PDSCH RAR</w:t>
      </w:r>
    </w:p>
    <w:p w14:paraId="2447B282" w14:textId="77777777" w:rsidR="00E24342" w:rsidRDefault="00E24342" w:rsidP="00E24342">
      <w:pPr>
        <w:jc w:val="left"/>
        <w:rPr>
          <w:iCs/>
          <w:sz w:val="24"/>
          <w:szCs w:val="24"/>
          <w:lang w:eastAsia="ja-JP"/>
        </w:rPr>
      </w:pPr>
    </w:p>
    <w:p w14:paraId="6D97DF4B" w14:textId="16035E85" w:rsidR="00E24342" w:rsidRPr="00013894" w:rsidRDefault="00E24342" w:rsidP="00E24342">
      <w:pPr>
        <w:jc w:val="left"/>
        <w:rPr>
          <w:rFonts w:eastAsia="MS Mincho"/>
          <w:iCs/>
          <w:lang w:eastAsia="ja-JP"/>
        </w:rPr>
      </w:pPr>
      <w:r w:rsidRPr="00EA6501">
        <w:rPr>
          <w:iCs/>
          <w:lang w:eastAsia="ja-JP"/>
        </w:rPr>
        <w:t>In RAN1#</w:t>
      </w:r>
      <w:r>
        <w:rPr>
          <w:iCs/>
          <w:lang w:eastAsia="ja-JP"/>
        </w:rPr>
        <w:t>113</w:t>
      </w:r>
      <w:r w:rsidRPr="00EA6501">
        <w:rPr>
          <w:iCs/>
          <w:lang w:eastAsia="ja-JP"/>
        </w:rPr>
        <w:t xml:space="preserve">, the following </w:t>
      </w:r>
      <w:r>
        <w:rPr>
          <w:iCs/>
          <w:lang w:eastAsia="ja-JP"/>
        </w:rPr>
        <w:t>proposal regarding</w:t>
      </w:r>
      <w:r w:rsidRPr="00E24342">
        <w:t xml:space="preserve"> </w:t>
      </w:r>
      <w:r w:rsidRPr="00E24342">
        <w:rPr>
          <w:iCs/>
          <w:lang w:eastAsia="ja-JP"/>
        </w:rPr>
        <w:t>QCL of PDCCH/PDSCH RAR</w:t>
      </w:r>
      <w:r w:rsidR="00BA4750">
        <w:rPr>
          <w:iCs/>
          <w:lang w:eastAsia="ja-JP"/>
        </w:rPr>
        <w:t xml:space="preserve"> was discussed:</w:t>
      </w:r>
    </w:p>
    <w:tbl>
      <w:tblPr>
        <w:tblStyle w:val="a9"/>
        <w:tblW w:w="0" w:type="auto"/>
        <w:tblLook w:val="04A0" w:firstRow="1" w:lastRow="0" w:firstColumn="1" w:lastColumn="0" w:noHBand="0" w:noVBand="1"/>
      </w:tblPr>
      <w:tblGrid>
        <w:gridCol w:w="9288"/>
      </w:tblGrid>
      <w:tr w:rsidR="00E24342" w14:paraId="25D661C7" w14:textId="77777777" w:rsidTr="001939C8">
        <w:tc>
          <w:tcPr>
            <w:tcW w:w="9288" w:type="dxa"/>
          </w:tcPr>
          <w:p w14:paraId="6B717C02" w14:textId="7F489303" w:rsidR="00E24342" w:rsidRDefault="00E24342" w:rsidP="00E24342">
            <w:pPr>
              <w:spacing w:after="0"/>
              <w:rPr>
                <w:rStyle w:val="af2"/>
                <w:rFonts w:cs="Times"/>
              </w:rPr>
            </w:pPr>
            <w:r>
              <w:rPr>
                <w:rStyle w:val="af2"/>
                <w:rFonts w:cs="Times"/>
              </w:rPr>
              <w:lastRenderedPageBreak/>
              <w:t>For inter-cell multi-DCI based multi-TRP operation with two TAGs configured in a CC, when the PDCCH order is transmitted from the TRP that is not associated with Type 1 CSS, PDCCH RAR and PDSCH RAR of a CFRA are both QCLed with the CORESET associated with the Type I CSS set</w:t>
            </w:r>
          </w:p>
          <w:p w14:paraId="4A0E68C6" w14:textId="77777777" w:rsidR="00E24342" w:rsidRPr="00E24342" w:rsidRDefault="00E24342" w:rsidP="001939C8">
            <w:pPr>
              <w:spacing w:after="0"/>
              <w:jc w:val="left"/>
            </w:pPr>
          </w:p>
        </w:tc>
      </w:tr>
    </w:tbl>
    <w:p w14:paraId="2C71CDB6" w14:textId="77777777" w:rsidR="00E24342" w:rsidRDefault="00E24342" w:rsidP="00E24342">
      <w:pPr>
        <w:jc w:val="left"/>
      </w:pPr>
    </w:p>
    <w:p w14:paraId="46154E96" w14:textId="0553C93F" w:rsidR="00E24342" w:rsidRDefault="00895A8F" w:rsidP="00E24342">
      <w:r>
        <w:rPr>
          <w:rFonts w:hint="eastAsia"/>
        </w:rPr>
        <w:t>We</w:t>
      </w:r>
      <w:r w:rsidRPr="00895A8F">
        <w:t xml:space="preserve"> think it is correct in terms of </w:t>
      </w:r>
      <w:r>
        <w:t>specification</w:t>
      </w:r>
      <w:r w:rsidRPr="00895A8F">
        <w:t xml:space="preserve"> that both PDCCH RAR and PDSCH RAR should be received from TRP that is </w:t>
      </w:r>
      <w:r>
        <w:t>associated</w:t>
      </w:r>
      <w:r w:rsidRPr="00895A8F">
        <w:t xml:space="preserve"> with Type 1 CSS </w:t>
      </w:r>
      <w:r>
        <w:t>when</w:t>
      </w:r>
      <w:r w:rsidRPr="00895A8F">
        <w:t xml:space="preserve"> the TRP </w:t>
      </w:r>
      <w:r>
        <w:t>sending</w:t>
      </w:r>
      <w:r w:rsidRPr="00895A8F">
        <w:t xml:space="preserve"> PDCCH orders is not associated with Type 1 CSS. However, if the UE receives </w:t>
      </w:r>
      <w:r>
        <w:t>other</w:t>
      </w:r>
      <w:r w:rsidRPr="00895A8F">
        <w:t xml:space="preserve"> control</w:t>
      </w:r>
      <w:r>
        <w:t xml:space="preserve"> signal</w:t>
      </w:r>
      <w:r w:rsidRPr="00895A8F">
        <w:t xml:space="preserve">s that are not related to the type 1 CSS from the TRP </w:t>
      </w:r>
      <w:r>
        <w:t>sending</w:t>
      </w:r>
      <w:r w:rsidRPr="00895A8F">
        <w:t xml:space="preserve"> the PDCCH order and the control </w:t>
      </w:r>
      <w:r>
        <w:t xml:space="preserve">signals </w:t>
      </w:r>
      <w:r w:rsidRPr="00895A8F">
        <w:t>related to the type 1 CSS</w:t>
      </w:r>
      <w:r>
        <w:t xml:space="preserve"> such as </w:t>
      </w:r>
      <w:r w:rsidRPr="00895A8F">
        <w:t>PDCCH RAR and PDSCH RAR must be rec</w:t>
      </w:r>
      <w:r>
        <w:t>eived by another TRP, there will be three l</w:t>
      </w:r>
      <w:r w:rsidRPr="00895A8F">
        <w:t xml:space="preserve">inks that the UE must manage and the connection must be maintained continuously for each link. This is very inefficient. In particular, the TRP associated with the type 1 CSS is very far away, so if the signal is weak, there is a hassle of changing the type 1 CSS TRP. Therefore, ultimately, it would be efficient to allow RARs to be sent from </w:t>
      </w:r>
      <w:r>
        <w:t xml:space="preserve">a </w:t>
      </w:r>
      <w:r w:rsidRPr="00895A8F">
        <w:t>TRP</w:t>
      </w:r>
      <w:r>
        <w:t xml:space="preserve"> sending</w:t>
      </w:r>
      <w:r w:rsidRPr="00895A8F">
        <w:t xml:space="preserve"> PDCCH orders or to replace RARs with Absolute TA command MAC CE.</w:t>
      </w:r>
    </w:p>
    <w:p w14:paraId="7A5C2A42" w14:textId="77777777" w:rsidR="00895A8F" w:rsidRPr="006566C1" w:rsidRDefault="00895A8F" w:rsidP="00E24342">
      <w:pPr>
        <w:rPr>
          <w:b/>
        </w:rPr>
      </w:pPr>
    </w:p>
    <w:p w14:paraId="3A74AF0D" w14:textId="0B5D3F23" w:rsidR="00E24342" w:rsidRDefault="00502450" w:rsidP="00E24342">
      <w:pPr>
        <w:rPr>
          <w:b/>
          <w:lang w:eastAsia="zh-CN"/>
        </w:rPr>
      </w:pPr>
      <w:r>
        <w:rPr>
          <w:b/>
          <w:lang w:eastAsia="zh-CN"/>
        </w:rPr>
        <w:t xml:space="preserve">Observation </w:t>
      </w:r>
      <w:r w:rsidR="00570330">
        <w:rPr>
          <w:b/>
          <w:lang w:eastAsia="zh-CN"/>
        </w:rPr>
        <w:t>4</w:t>
      </w:r>
      <w:r w:rsidR="00E24342" w:rsidRPr="003161C0">
        <w:rPr>
          <w:b/>
          <w:lang w:eastAsia="zh-CN"/>
        </w:rPr>
        <w:t>:</w:t>
      </w:r>
      <w:r w:rsidR="00E24342">
        <w:rPr>
          <w:b/>
          <w:lang w:eastAsia="zh-CN"/>
        </w:rPr>
        <w:t xml:space="preserve"> </w:t>
      </w:r>
      <w:r w:rsidR="00895A8F">
        <w:rPr>
          <w:b/>
          <w:lang w:eastAsia="zh-CN"/>
        </w:rPr>
        <w:t xml:space="preserve">According to the current specification, it seems that </w:t>
      </w:r>
      <w:r w:rsidR="00895A8F" w:rsidRPr="00895A8F">
        <w:rPr>
          <w:b/>
          <w:lang w:eastAsia="zh-CN"/>
        </w:rPr>
        <w:t>both PDCCH RAR and PDSCH RAR should be received from TRP that is associated with Type 1 CSS when the TRP sending PDCCH orders is not associated with Type 1 CSS.</w:t>
      </w:r>
      <w:r>
        <w:rPr>
          <w:b/>
          <w:lang w:eastAsia="zh-CN"/>
        </w:rPr>
        <w:t xml:space="preserve"> However, it is too complicated in a sense that the UE should manage three links, that is, the UE and a TRP sending the PDCCH order, the UE and another TRP, and the UE and a TRP associated with type 1 CSS.</w:t>
      </w:r>
    </w:p>
    <w:p w14:paraId="7B3FC1A0" w14:textId="77777777" w:rsidR="00E24342" w:rsidRPr="00E24342" w:rsidRDefault="00E24342" w:rsidP="00E24342">
      <w:pPr>
        <w:rPr>
          <w:b/>
          <w:lang w:eastAsia="zh-CN"/>
        </w:rPr>
      </w:pPr>
    </w:p>
    <w:p w14:paraId="6D00B4A7" w14:textId="77777777" w:rsidR="00061081" w:rsidRPr="00372445" w:rsidRDefault="00061081" w:rsidP="00CE142D">
      <w:pPr>
        <w:jc w:val="left"/>
      </w:pPr>
    </w:p>
    <w:p w14:paraId="4070FC0B" w14:textId="0A88BA80" w:rsidR="00F613CD" w:rsidRPr="009D67ED" w:rsidRDefault="00EC5F3B" w:rsidP="00CE142D">
      <w:pPr>
        <w:pStyle w:val="1"/>
      </w:pPr>
      <w:r>
        <w:t>Conclusion</w:t>
      </w:r>
    </w:p>
    <w:p w14:paraId="575B676B" w14:textId="2D4D003B" w:rsidR="005E7123" w:rsidRDefault="000E0B10" w:rsidP="00CE142D">
      <w:pPr>
        <w:jc w:val="left"/>
      </w:pPr>
      <w:r w:rsidRPr="002808E7">
        <w:rPr>
          <w:rFonts w:hint="eastAsia"/>
        </w:rPr>
        <w:t>In this contribution,</w:t>
      </w:r>
      <w:r w:rsidR="0032399E">
        <w:t xml:space="preserve"> we discussed issues on the introduction of </w:t>
      </w:r>
      <w:r w:rsidR="001071C9">
        <w:t xml:space="preserve">two TAs </w:t>
      </w:r>
      <w:r w:rsidR="001071C9" w:rsidRPr="001071C9">
        <w:t xml:space="preserve">for multi-DCI based </w:t>
      </w:r>
      <w:proofErr w:type="gramStart"/>
      <w:r w:rsidR="001071C9" w:rsidRPr="001071C9">
        <w:t>mTRP</w:t>
      </w:r>
      <w:r w:rsidR="001071C9">
        <w:t xml:space="preserve"> </w:t>
      </w:r>
      <w:r w:rsidR="00930ED2">
        <w:t>.</w:t>
      </w:r>
      <w:proofErr w:type="gramEnd"/>
      <w:r w:rsidR="00930ED2">
        <w:t xml:space="preserve"> W</w:t>
      </w:r>
      <w:r w:rsidR="0010546E">
        <w:t>e note</w:t>
      </w:r>
      <w:r w:rsidR="0032399E">
        <w:t xml:space="preserve"> the following </w:t>
      </w:r>
      <w:r w:rsidR="00930ED2">
        <w:t xml:space="preserve">observations and </w:t>
      </w:r>
      <w:r w:rsidR="0032399E">
        <w:t>proposals</w:t>
      </w:r>
      <w:r w:rsidR="0010546E">
        <w:t>.</w:t>
      </w:r>
    </w:p>
    <w:p w14:paraId="7E0E9C5D" w14:textId="267D8E10" w:rsidR="00972598" w:rsidRDefault="00972598" w:rsidP="00CE142D">
      <w:pPr>
        <w:jc w:val="left"/>
      </w:pPr>
    </w:p>
    <w:p w14:paraId="18B554A7" w14:textId="77777777" w:rsidR="00BD78FA" w:rsidRDefault="00BD78FA" w:rsidP="00BD78FA">
      <w:pPr>
        <w:rPr>
          <w:b/>
        </w:rPr>
      </w:pPr>
      <w:r w:rsidRPr="003161C0">
        <w:rPr>
          <w:b/>
          <w:lang w:eastAsia="zh-CN"/>
        </w:rPr>
        <w:t xml:space="preserve">Observation </w:t>
      </w:r>
      <w:r>
        <w:rPr>
          <w:b/>
          <w:lang w:eastAsia="zh-CN"/>
        </w:rPr>
        <w:t>1</w:t>
      </w:r>
      <w:r w:rsidRPr="003161C0">
        <w:rPr>
          <w:b/>
          <w:lang w:eastAsia="zh-CN"/>
        </w:rPr>
        <w:t>:</w:t>
      </w:r>
      <w:r>
        <w:rPr>
          <w:b/>
          <w:lang w:eastAsia="zh-CN"/>
        </w:rPr>
        <w:t xml:space="preserve"> </w:t>
      </w:r>
      <w:r w:rsidRPr="00FD79E0">
        <w:rPr>
          <w:b/>
        </w:rPr>
        <w:t>Alt 3 facilitates the indication of TAG IDs, enhances the efficiency of PRACH power control, and eliminates ambiguity in UE-based TA measurements.</w:t>
      </w:r>
    </w:p>
    <w:p w14:paraId="4A663463" w14:textId="77777777" w:rsidR="004447A4" w:rsidRPr="00BD78FA" w:rsidRDefault="004447A4" w:rsidP="00CE142D">
      <w:pPr>
        <w:jc w:val="left"/>
      </w:pPr>
    </w:p>
    <w:p w14:paraId="06C53514" w14:textId="77777777" w:rsidR="00BD78FA" w:rsidRPr="00134CF4" w:rsidRDefault="00BD78FA" w:rsidP="00BD78FA">
      <w:pPr>
        <w:rPr>
          <w:b/>
        </w:rPr>
      </w:pPr>
      <w:r w:rsidRPr="003161C0">
        <w:rPr>
          <w:b/>
          <w:lang w:eastAsia="zh-CN"/>
        </w:rPr>
        <w:t xml:space="preserve">Observation </w:t>
      </w:r>
      <w:r>
        <w:rPr>
          <w:b/>
          <w:lang w:eastAsia="zh-CN"/>
        </w:rPr>
        <w:t>2</w:t>
      </w:r>
      <w:r w:rsidRPr="003161C0">
        <w:rPr>
          <w:b/>
          <w:lang w:eastAsia="zh-CN"/>
        </w:rPr>
        <w:t>:</w:t>
      </w:r>
      <w:r>
        <w:rPr>
          <w:b/>
          <w:lang w:eastAsia="zh-CN"/>
        </w:rPr>
        <w:t xml:space="preserve"> </w:t>
      </w:r>
      <w:r w:rsidRPr="00BD78FA">
        <w:rPr>
          <w:b/>
        </w:rPr>
        <w:t>Alt 1 allows for the indication of TAG IDs; however, it could potentially introduce ambiguity regarding the determination of PRACH's Tx power and the support for UE-based TA measurements.</w:t>
      </w:r>
    </w:p>
    <w:p w14:paraId="1865E1E4" w14:textId="77777777" w:rsidR="00570330" w:rsidRPr="00BD78FA" w:rsidRDefault="00570330" w:rsidP="00570330"/>
    <w:p w14:paraId="36D0A240" w14:textId="77777777" w:rsidR="00BD78FA" w:rsidRDefault="00BD78FA" w:rsidP="00BD78FA">
      <w:pPr>
        <w:rPr>
          <w:b/>
          <w:lang w:eastAsia="zh-CN"/>
        </w:rPr>
      </w:pPr>
      <w:r w:rsidRPr="004636C3">
        <w:rPr>
          <w:b/>
          <w:lang w:eastAsia="zh-CN"/>
        </w:rPr>
        <w:t>Prop</w:t>
      </w:r>
      <w:r w:rsidRPr="001132A2">
        <w:rPr>
          <w:b/>
          <w:lang w:eastAsia="zh-CN"/>
        </w:rPr>
        <w:t xml:space="preserve">osal </w:t>
      </w:r>
      <w:r>
        <w:rPr>
          <w:b/>
          <w:lang w:eastAsia="zh-CN"/>
        </w:rPr>
        <w:t>1</w:t>
      </w:r>
      <w:r w:rsidRPr="004636C3">
        <w:rPr>
          <w:b/>
          <w:lang w:eastAsia="zh-CN"/>
        </w:rPr>
        <w:t xml:space="preserve">: </w:t>
      </w:r>
      <w:r w:rsidRPr="00BD78FA">
        <w:rPr>
          <w:b/>
        </w:rPr>
        <w:t xml:space="preserve">We </w:t>
      </w:r>
      <w:r>
        <w:rPr>
          <w:b/>
        </w:rPr>
        <w:t xml:space="preserve">proposing supporting </w:t>
      </w:r>
      <w:r w:rsidRPr="00BD78FA">
        <w:rPr>
          <w:b/>
        </w:rPr>
        <w:t>Alt 3, wherein the UE can indicate whether the TAG ID corresponds to a TRP distinct from TRP1 or aligns with TRP1. This specification empowers the UE to adeptly manage PRACH power control and RACH-less UE-based TA measurements.</w:t>
      </w:r>
    </w:p>
    <w:p w14:paraId="3C17F180" w14:textId="241EBC77" w:rsidR="00570330" w:rsidRPr="00BD78FA" w:rsidRDefault="00570330" w:rsidP="00CE142D">
      <w:pPr>
        <w:jc w:val="left"/>
      </w:pPr>
    </w:p>
    <w:p w14:paraId="7A57EE80" w14:textId="77777777" w:rsidR="00FE1C9F" w:rsidRDefault="00FE1C9F" w:rsidP="00FE1C9F">
      <w:pPr>
        <w:rPr>
          <w:b/>
        </w:rPr>
      </w:pPr>
      <w:r w:rsidRPr="003161C0">
        <w:rPr>
          <w:b/>
          <w:lang w:eastAsia="zh-CN"/>
        </w:rPr>
        <w:t xml:space="preserve">Observation </w:t>
      </w:r>
      <w:r>
        <w:rPr>
          <w:b/>
          <w:lang w:eastAsia="zh-CN"/>
        </w:rPr>
        <w:t>3</w:t>
      </w:r>
      <w:r w:rsidRPr="003161C0">
        <w:rPr>
          <w:b/>
          <w:lang w:eastAsia="zh-CN"/>
        </w:rPr>
        <w:t>:</w:t>
      </w:r>
      <w:r>
        <w:rPr>
          <w:b/>
          <w:lang w:eastAsia="zh-CN"/>
        </w:rPr>
        <w:t xml:space="preserve"> T</w:t>
      </w:r>
      <w:r>
        <w:rPr>
          <w:rFonts w:hint="eastAsia"/>
          <w:b/>
        </w:rPr>
        <w:t>he</w:t>
      </w:r>
      <w:r>
        <w:rPr>
          <w:b/>
        </w:rPr>
        <w:t xml:space="preserve"> Absolute TA command based RAR-less solution</w:t>
      </w:r>
      <w:r>
        <w:rPr>
          <w:rFonts w:hint="eastAsia"/>
          <w:b/>
        </w:rPr>
        <w:t xml:space="preserve"> </w:t>
      </w:r>
      <w:r>
        <w:rPr>
          <w:b/>
        </w:rPr>
        <w:t xml:space="preserve">agreed in Rel-18 Mobility </w:t>
      </w:r>
      <w:proofErr w:type="spellStart"/>
      <w:r>
        <w:rPr>
          <w:b/>
        </w:rPr>
        <w:t>Enh</w:t>
      </w:r>
      <w:proofErr w:type="spellEnd"/>
      <w:r>
        <w:rPr>
          <w:b/>
        </w:rPr>
        <w:t xml:space="preserve"> can be reused when RAR is not configured, where </w:t>
      </w:r>
      <w:r w:rsidRPr="00FE1C9F">
        <w:rPr>
          <w:b/>
        </w:rPr>
        <w:t>the Absolute TA command is received from the TRP that sent the PDCCH order</w:t>
      </w:r>
      <w:r>
        <w:rPr>
          <w:b/>
        </w:rPr>
        <w:t>.</w:t>
      </w:r>
    </w:p>
    <w:p w14:paraId="2DCBAF15" w14:textId="77777777" w:rsidR="004447A4" w:rsidRPr="00FE1C9F" w:rsidRDefault="004447A4" w:rsidP="004447A4">
      <w:pPr>
        <w:rPr>
          <w:b/>
        </w:rPr>
      </w:pPr>
    </w:p>
    <w:p w14:paraId="0DACAA2A" w14:textId="77777777" w:rsidR="00FE1C9F" w:rsidRDefault="00FE1C9F" w:rsidP="00FE1C9F">
      <w:r>
        <w:rPr>
          <w:b/>
          <w:lang w:eastAsia="zh-CN"/>
        </w:rPr>
        <w:lastRenderedPageBreak/>
        <w:t>Proposal</w:t>
      </w:r>
      <w:r w:rsidRPr="003161C0">
        <w:rPr>
          <w:b/>
          <w:lang w:eastAsia="zh-CN"/>
        </w:rPr>
        <w:t xml:space="preserve"> </w:t>
      </w:r>
      <w:r>
        <w:rPr>
          <w:b/>
          <w:lang w:eastAsia="zh-CN"/>
        </w:rPr>
        <w:t>2</w:t>
      </w:r>
      <w:r w:rsidRPr="003161C0">
        <w:rPr>
          <w:b/>
          <w:lang w:eastAsia="zh-CN"/>
        </w:rPr>
        <w:t>:</w:t>
      </w:r>
      <w:r>
        <w:rPr>
          <w:b/>
          <w:lang w:eastAsia="zh-CN"/>
        </w:rPr>
        <w:t xml:space="preserve"> </w:t>
      </w:r>
      <w:r>
        <w:rPr>
          <w:b/>
        </w:rPr>
        <w:t xml:space="preserve">We support reusing the solution agreed in </w:t>
      </w:r>
      <w:r w:rsidRPr="00BD7FC6">
        <w:rPr>
          <w:b/>
        </w:rPr>
        <w:t xml:space="preserve">Rel-18 Mobility </w:t>
      </w:r>
      <w:proofErr w:type="spellStart"/>
      <w:r w:rsidRPr="00BD7FC6">
        <w:rPr>
          <w:b/>
        </w:rPr>
        <w:t>Enh</w:t>
      </w:r>
      <w:proofErr w:type="spellEnd"/>
      <w:r>
        <w:rPr>
          <w:b/>
        </w:rPr>
        <w:t>, where a TRP sending the PDCCH order should transmit the Absolute TA command to UE.</w:t>
      </w:r>
    </w:p>
    <w:p w14:paraId="56B746CB" w14:textId="77777777" w:rsidR="00570330" w:rsidRPr="00FE1C9F" w:rsidRDefault="00570330" w:rsidP="00570330">
      <w:pPr>
        <w:rPr>
          <w:b/>
          <w:lang w:eastAsia="zh-CN"/>
        </w:rPr>
      </w:pPr>
    </w:p>
    <w:p w14:paraId="5DEE4703" w14:textId="77777777" w:rsidR="004447A4" w:rsidRDefault="004447A4" w:rsidP="004447A4">
      <w:pPr>
        <w:rPr>
          <w:b/>
          <w:lang w:eastAsia="zh-CN"/>
        </w:rPr>
      </w:pPr>
      <w:r>
        <w:rPr>
          <w:b/>
          <w:lang w:eastAsia="zh-CN"/>
        </w:rPr>
        <w:t>Proposal</w:t>
      </w:r>
      <w:r w:rsidRPr="003161C0">
        <w:rPr>
          <w:b/>
          <w:lang w:eastAsia="zh-CN"/>
        </w:rPr>
        <w:t xml:space="preserve"> </w:t>
      </w:r>
      <w:r>
        <w:rPr>
          <w:b/>
          <w:lang w:eastAsia="zh-CN"/>
        </w:rPr>
        <w:t>3</w:t>
      </w:r>
      <w:r w:rsidRPr="003161C0">
        <w:rPr>
          <w:b/>
          <w:lang w:eastAsia="zh-CN"/>
        </w:rPr>
        <w:t>:</w:t>
      </w:r>
      <w:r>
        <w:rPr>
          <w:b/>
          <w:lang w:eastAsia="zh-CN"/>
        </w:rPr>
        <w:t xml:space="preserve"> T</w:t>
      </w:r>
      <w:r w:rsidRPr="00E24342">
        <w:rPr>
          <w:b/>
          <w:lang w:eastAsia="zh-CN"/>
        </w:rPr>
        <w:t xml:space="preserve">he transmission power of another TRP </w:t>
      </w:r>
      <w:r>
        <w:rPr>
          <w:b/>
          <w:lang w:eastAsia="zh-CN"/>
        </w:rPr>
        <w:t xml:space="preserve">with different PCI from the TRP sending PDCCH order </w:t>
      </w:r>
      <w:r w:rsidRPr="00E24342">
        <w:rPr>
          <w:b/>
          <w:lang w:eastAsia="zh-CN"/>
        </w:rPr>
        <w:t>should</w:t>
      </w:r>
      <w:r>
        <w:rPr>
          <w:b/>
          <w:lang w:eastAsia="zh-CN"/>
        </w:rPr>
        <w:t xml:space="preserve"> be included in the PDCCH order in order for UE to calculate </w:t>
      </w:r>
      <w:r w:rsidRPr="00E24342">
        <w:rPr>
          <w:b/>
          <w:lang w:eastAsia="zh-CN"/>
        </w:rPr>
        <w:t>the transmit power of the PRACH transmission</w:t>
      </w:r>
      <w:r>
        <w:rPr>
          <w:b/>
          <w:lang w:eastAsia="zh-CN"/>
        </w:rPr>
        <w:t>.</w:t>
      </w:r>
    </w:p>
    <w:p w14:paraId="60F63977" w14:textId="77777777" w:rsidR="00570330" w:rsidRPr="004447A4" w:rsidRDefault="00570330" w:rsidP="00570330">
      <w:pPr>
        <w:rPr>
          <w:b/>
          <w:lang w:eastAsia="zh-CN"/>
        </w:rPr>
      </w:pPr>
    </w:p>
    <w:p w14:paraId="0B973998" w14:textId="77777777" w:rsidR="004447A4" w:rsidRDefault="004447A4" w:rsidP="004447A4">
      <w:pPr>
        <w:rPr>
          <w:b/>
          <w:lang w:eastAsia="zh-CN"/>
        </w:rPr>
      </w:pPr>
      <w:r>
        <w:rPr>
          <w:b/>
          <w:lang w:eastAsia="zh-CN"/>
        </w:rPr>
        <w:t>Observation 4</w:t>
      </w:r>
      <w:r w:rsidRPr="003161C0">
        <w:rPr>
          <w:b/>
          <w:lang w:eastAsia="zh-CN"/>
        </w:rPr>
        <w:t>:</w:t>
      </w:r>
      <w:r>
        <w:rPr>
          <w:b/>
          <w:lang w:eastAsia="zh-CN"/>
        </w:rPr>
        <w:t xml:space="preserve"> According to the current specification, it seems that </w:t>
      </w:r>
      <w:r w:rsidRPr="00895A8F">
        <w:rPr>
          <w:b/>
          <w:lang w:eastAsia="zh-CN"/>
        </w:rPr>
        <w:t>both PDCCH RAR and PDSCH RAR should be received from TRP that is associated with Type 1 CSS when the TRP sending PDCCH orders is not associated with Type 1 CSS.</w:t>
      </w:r>
      <w:r>
        <w:rPr>
          <w:b/>
          <w:lang w:eastAsia="zh-CN"/>
        </w:rPr>
        <w:t xml:space="preserve"> However, it is too complicated in a sense that the UE should manage three links, that is, the UE and a TRP sending the PDCCH order, the UE and another TRP, and the UE and a TRP associated with type 1 CSS.</w:t>
      </w:r>
    </w:p>
    <w:p w14:paraId="67694B92" w14:textId="2B9040E0" w:rsidR="001071C9" w:rsidRPr="004447A4" w:rsidRDefault="001071C9" w:rsidP="00CE142D">
      <w:pPr>
        <w:jc w:val="left"/>
      </w:pPr>
    </w:p>
    <w:p w14:paraId="5815A418" w14:textId="77777777" w:rsidR="001071C9" w:rsidRPr="001071C9" w:rsidRDefault="001071C9" w:rsidP="00CE142D">
      <w:pPr>
        <w:jc w:val="left"/>
      </w:pPr>
    </w:p>
    <w:p w14:paraId="2A04AB50" w14:textId="77777777" w:rsidR="00491D04" w:rsidRPr="00A75F19" w:rsidRDefault="00491D04" w:rsidP="00CE142D">
      <w:pPr>
        <w:pStyle w:val="1"/>
      </w:pPr>
      <w:r w:rsidRPr="00A75F19">
        <w:t>References</w:t>
      </w:r>
    </w:p>
    <w:p w14:paraId="41C7AD10" w14:textId="6D1B332D" w:rsidR="00044711" w:rsidRPr="00044711" w:rsidRDefault="00044711">
      <w:pPr>
        <w:pStyle w:val="aa"/>
        <w:numPr>
          <w:ilvl w:val="0"/>
          <w:numId w:val="45"/>
        </w:numPr>
        <w:spacing w:after="0"/>
        <w:contextualSpacing/>
        <w:jc w:val="both"/>
        <w:rPr>
          <w:rFonts w:eastAsiaTheme="minorEastAsia"/>
          <w:szCs w:val="22"/>
          <w:lang w:eastAsia="zh-CN"/>
        </w:rPr>
      </w:pPr>
      <w:r w:rsidRPr="00044711">
        <w:rPr>
          <w:rFonts w:eastAsiaTheme="minorEastAsia"/>
          <w:szCs w:val="22"/>
          <w:lang w:eastAsia="zh-CN"/>
        </w:rPr>
        <w:t>RP-213598, “New WID: MIMO evolution for Downlink and Uplink”, Samsung, 3GPP RAN Meeting #94e, December 6-17, 2021</w:t>
      </w:r>
      <w:r w:rsidR="00E424E6">
        <w:rPr>
          <w:rFonts w:eastAsiaTheme="minorEastAsia"/>
          <w:szCs w:val="22"/>
          <w:lang w:eastAsia="zh-CN"/>
        </w:rPr>
        <w:t>.</w:t>
      </w:r>
    </w:p>
    <w:p w14:paraId="7EDE63DE" w14:textId="6E066DAE" w:rsidR="00B752EE" w:rsidRPr="009E6FF5" w:rsidRDefault="00B752EE" w:rsidP="00CE142D">
      <w:pPr>
        <w:spacing w:after="60"/>
        <w:jc w:val="left"/>
        <w:rPr>
          <w:highlight w:val="yellow"/>
        </w:rPr>
      </w:pPr>
      <w:r w:rsidRPr="009E6FF5">
        <w:t>[2]</w:t>
      </w:r>
      <w:r w:rsidR="00E6663A" w:rsidRPr="009E6FF5">
        <w:t xml:space="preserve"> Draft Report</w:t>
      </w:r>
      <w:r w:rsidR="00E6663A" w:rsidRPr="00E6663A">
        <w:t xml:space="preserve"> of 3GPP TSG RAN WG</w:t>
      </w:r>
      <w:r w:rsidR="001071C9">
        <w:t>1</w:t>
      </w:r>
      <w:r w:rsidR="00E6663A" w:rsidRPr="00E6663A">
        <w:t xml:space="preserve"> meeting #</w:t>
      </w:r>
      <w:r w:rsidR="001071C9">
        <w:t>11</w:t>
      </w:r>
      <w:r w:rsidR="0075697E">
        <w:t>3</w:t>
      </w:r>
      <w:r w:rsidR="001071C9">
        <w:t>.</w:t>
      </w:r>
    </w:p>
    <w:sectPr w:rsidR="00B752EE" w:rsidRPr="009E6FF5"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256F7" w14:textId="77777777" w:rsidR="009A42EF" w:rsidRDefault="009A42EF" w:rsidP="00C02370">
      <w:r>
        <w:separator/>
      </w:r>
    </w:p>
    <w:p w14:paraId="4E5F00AB" w14:textId="77777777" w:rsidR="009A42EF" w:rsidRDefault="009A42EF" w:rsidP="00C02370"/>
  </w:endnote>
  <w:endnote w:type="continuationSeparator" w:id="0">
    <w:p w14:paraId="5D0B7DC2" w14:textId="77777777" w:rsidR="009A42EF" w:rsidRDefault="009A42EF" w:rsidP="00C02370">
      <w:r>
        <w:continuationSeparator/>
      </w:r>
    </w:p>
    <w:p w14:paraId="1CE45CA9" w14:textId="77777777" w:rsidR="009A42EF" w:rsidRDefault="009A42EF"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755D5099" w:rsidR="007266EF" w:rsidRDefault="007266EF" w:rsidP="004B7E73">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p w14:paraId="6F020E02" w14:textId="18C8E321" w:rsidR="007266EF" w:rsidRDefault="009A42EF"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7ACA2" w14:textId="77777777" w:rsidR="009A42EF" w:rsidRDefault="009A42EF" w:rsidP="00C02370">
      <w:r>
        <w:separator/>
      </w:r>
    </w:p>
    <w:p w14:paraId="69166BC3" w14:textId="77777777" w:rsidR="009A42EF" w:rsidRDefault="009A42EF" w:rsidP="00C02370"/>
  </w:footnote>
  <w:footnote w:type="continuationSeparator" w:id="0">
    <w:p w14:paraId="1DB7263F" w14:textId="77777777" w:rsidR="009A42EF" w:rsidRDefault="009A42EF" w:rsidP="00C02370">
      <w:r>
        <w:continuationSeparator/>
      </w:r>
    </w:p>
    <w:p w14:paraId="1642FEA7" w14:textId="77777777" w:rsidR="009A42EF" w:rsidRDefault="009A42EF"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523"/>
    <w:multiLevelType w:val="hybridMultilevel"/>
    <w:tmpl w:val="C8421BA6"/>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38011D"/>
    <w:multiLevelType w:val="hybridMultilevel"/>
    <w:tmpl w:val="109A5C96"/>
    <w:lvl w:ilvl="0" w:tplc="A1F839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7288A"/>
    <w:multiLevelType w:val="hybridMultilevel"/>
    <w:tmpl w:val="E7924E2E"/>
    <w:lvl w:ilvl="0" w:tplc="11ECFD4C">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824D0"/>
    <w:multiLevelType w:val="hybridMultilevel"/>
    <w:tmpl w:val="ED94FBD6"/>
    <w:lvl w:ilvl="0" w:tplc="0C1CE3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3781B3F"/>
    <w:multiLevelType w:val="hybridMultilevel"/>
    <w:tmpl w:val="9CB087F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547838"/>
    <w:multiLevelType w:val="hybridMultilevel"/>
    <w:tmpl w:val="A53A234C"/>
    <w:lvl w:ilvl="0" w:tplc="06962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6E71BE8"/>
    <w:multiLevelType w:val="hybridMultilevel"/>
    <w:tmpl w:val="886279AE"/>
    <w:lvl w:ilvl="0" w:tplc="7D70CD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ACE49CC"/>
    <w:multiLevelType w:val="hybridMultilevel"/>
    <w:tmpl w:val="ACAA7F9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2E203A21"/>
    <w:multiLevelType w:val="hybridMultilevel"/>
    <w:tmpl w:val="713A50CE"/>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F7C6CDA"/>
    <w:multiLevelType w:val="hybridMultilevel"/>
    <w:tmpl w:val="8EDADDD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6115D0"/>
    <w:multiLevelType w:val="hybridMultilevel"/>
    <w:tmpl w:val="0B00777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F3E5E"/>
    <w:multiLevelType w:val="hybridMultilevel"/>
    <w:tmpl w:val="DE0AC978"/>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C05FBE"/>
    <w:multiLevelType w:val="hybridMultilevel"/>
    <w:tmpl w:val="B2865DE4"/>
    <w:lvl w:ilvl="0" w:tplc="00C0396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0D2E15"/>
    <w:multiLevelType w:val="hybridMultilevel"/>
    <w:tmpl w:val="22961F82"/>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58B4359"/>
    <w:multiLevelType w:val="hybridMultilevel"/>
    <w:tmpl w:val="7FA6A7D0"/>
    <w:lvl w:ilvl="0" w:tplc="14C41E6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9" w15:restartNumberingAfterBreak="0">
    <w:nsid w:val="6DCE3DD3"/>
    <w:multiLevelType w:val="hybridMultilevel"/>
    <w:tmpl w:val="25F0BEFE"/>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EF1446"/>
    <w:multiLevelType w:val="hybridMultilevel"/>
    <w:tmpl w:val="6CD0CB04"/>
    <w:lvl w:ilvl="0" w:tplc="8D64CC0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042553D"/>
    <w:multiLevelType w:val="hybridMultilevel"/>
    <w:tmpl w:val="9F621556"/>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F7635B"/>
    <w:multiLevelType w:val="hybridMultilevel"/>
    <w:tmpl w:val="BCF23038"/>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E63741F"/>
    <w:multiLevelType w:val="hybridMultilevel"/>
    <w:tmpl w:val="5206053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3"/>
  </w:num>
  <w:num w:numId="3">
    <w:abstractNumId w:val="14"/>
  </w:num>
  <w:num w:numId="4">
    <w:abstractNumId w:val="38"/>
  </w:num>
  <w:num w:numId="5">
    <w:abstractNumId w:val="16"/>
  </w:num>
  <w:num w:numId="6">
    <w:abstractNumId w:val="10"/>
  </w:num>
  <w:num w:numId="7">
    <w:abstractNumId w:val="18"/>
  </w:num>
  <w:num w:numId="8">
    <w:abstractNumId w:val="41"/>
  </w:num>
  <w:num w:numId="9">
    <w:abstractNumId w:val="32"/>
  </w:num>
  <w:num w:numId="10">
    <w:abstractNumId w:val="37"/>
  </w:num>
  <w:num w:numId="11">
    <w:abstractNumId w:val="42"/>
  </w:num>
  <w:num w:numId="12">
    <w:abstractNumId w:val="35"/>
  </w:num>
  <w:num w:numId="13">
    <w:abstractNumId w:val="0"/>
  </w:num>
  <w:num w:numId="14">
    <w:abstractNumId w:val="39"/>
  </w:num>
  <w:num w:numId="15">
    <w:abstractNumId w:val="45"/>
  </w:num>
  <w:num w:numId="16">
    <w:abstractNumId w:val="22"/>
  </w:num>
  <w:num w:numId="17">
    <w:abstractNumId w:val="44"/>
  </w:num>
  <w:num w:numId="18">
    <w:abstractNumId w:val="9"/>
  </w:num>
  <w:num w:numId="19">
    <w:abstractNumId w:val="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4"/>
  </w:num>
  <w:num w:numId="23">
    <w:abstractNumId w:val="23"/>
  </w:num>
  <w:num w:numId="24">
    <w:abstractNumId w:val="21"/>
  </w:num>
  <w:num w:numId="25">
    <w:abstractNumId w:val="26"/>
  </w:num>
  <w:num w:numId="26">
    <w:abstractNumId w:val="31"/>
  </w:num>
  <w:num w:numId="27">
    <w:abstractNumId w:val="19"/>
  </w:num>
  <w:num w:numId="28">
    <w:abstractNumId w:val="1"/>
  </w:num>
  <w:num w:numId="29">
    <w:abstractNumId w:val="29"/>
  </w:num>
  <w:num w:numId="30">
    <w:abstractNumId w:val="5"/>
  </w:num>
  <w:num w:numId="31">
    <w:abstractNumId w:val="3"/>
  </w:num>
  <w:num w:numId="32">
    <w:abstractNumId w:val="34"/>
  </w:num>
  <w:num w:numId="33">
    <w:abstractNumId w:val="43"/>
  </w:num>
  <w:num w:numId="34">
    <w:abstractNumId w:val="40"/>
  </w:num>
  <w:num w:numId="35">
    <w:abstractNumId w:val="36"/>
  </w:num>
  <w:num w:numId="36">
    <w:abstractNumId w:val="20"/>
  </w:num>
  <w:num w:numId="37">
    <w:abstractNumId w:val="25"/>
  </w:num>
  <w:num w:numId="38">
    <w:abstractNumId w:val="27"/>
  </w:num>
  <w:num w:numId="39">
    <w:abstractNumId w:val="36"/>
  </w:num>
  <w:num w:numId="40">
    <w:abstractNumId w:val="30"/>
  </w:num>
  <w:num w:numId="41">
    <w:abstractNumId w:val="6"/>
  </w:num>
  <w:num w:numId="42">
    <w:abstractNumId w:val="24"/>
  </w:num>
  <w:num w:numId="43">
    <w:abstractNumId w:val="7"/>
  </w:num>
  <w:num w:numId="44">
    <w:abstractNumId w:val="11"/>
  </w:num>
  <w:num w:numId="45">
    <w:abstractNumId w:val="17"/>
  </w:num>
  <w:num w:numId="46">
    <w:abstractNumId w:val="28"/>
  </w:num>
  <w:num w:numId="47">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E50"/>
    <w:rsid w:val="00007C55"/>
    <w:rsid w:val="000105AA"/>
    <w:rsid w:val="00010F74"/>
    <w:rsid w:val="000110BA"/>
    <w:rsid w:val="00011519"/>
    <w:rsid w:val="00011F86"/>
    <w:rsid w:val="000120A5"/>
    <w:rsid w:val="00012720"/>
    <w:rsid w:val="000131BC"/>
    <w:rsid w:val="00013314"/>
    <w:rsid w:val="00013894"/>
    <w:rsid w:val="00013DDD"/>
    <w:rsid w:val="00014052"/>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4584"/>
    <w:rsid w:val="000446BB"/>
    <w:rsid w:val="00044711"/>
    <w:rsid w:val="00045821"/>
    <w:rsid w:val="0004612D"/>
    <w:rsid w:val="000461C4"/>
    <w:rsid w:val="00046B22"/>
    <w:rsid w:val="00047941"/>
    <w:rsid w:val="00051480"/>
    <w:rsid w:val="000515DB"/>
    <w:rsid w:val="0005191D"/>
    <w:rsid w:val="00051E09"/>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25C3"/>
    <w:rsid w:val="00095535"/>
    <w:rsid w:val="0009572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769"/>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7CD7"/>
    <w:rsid w:val="00117EA7"/>
    <w:rsid w:val="00120370"/>
    <w:rsid w:val="00120770"/>
    <w:rsid w:val="00121540"/>
    <w:rsid w:val="00121ABD"/>
    <w:rsid w:val="00121C9E"/>
    <w:rsid w:val="00122465"/>
    <w:rsid w:val="0012259C"/>
    <w:rsid w:val="0012373B"/>
    <w:rsid w:val="00123A70"/>
    <w:rsid w:val="00123F77"/>
    <w:rsid w:val="00124661"/>
    <w:rsid w:val="00125B29"/>
    <w:rsid w:val="00125C2A"/>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5B56"/>
    <w:rsid w:val="00135F09"/>
    <w:rsid w:val="001366C5"/>
    <w:rsid w:val="00136F33"/>
    <w:rsid w:val="00140234"/>
    <w:rsid w:val="00141DAF"/>
    <w:rsid w:val="00142B01"/>
    <w:rsid w:val="00142E82"/>
    <w:rsid w:val="0014357C"/>
    <w:rsid w:val="00143885"/>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005"/>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AEB"/>
    <w:rsid w:val="00183303"/>
    <w:rsid w:val="00183B9B"/>
    <w:rsid w:val="00183F8B"/>
    <w:rsid w:val="001845B1"/>
    <w:rsid w:val="001846BC"/>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8DD"/>
    <w:rsid w:val="001A43DA"/>
    <w:rsid w:val="001A4C86"/>
    <w:rsid w:val="001A5517"/>
    <w:rsid w:val="001A58B9"/>
    <w:rsid w:val="001A5C82"/>
    <w:rsid w:val="001A62BA"/>
    <w:rsid w:val="001A736B"/>
    <w:rsid w:val="001A73BD"/>
    <w:rsid w:val="001A74AE"/>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4F1"/>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46"/>
    <w:rsid w:val="002E22B1"/>
    <w:rsid w:val="002E304D"/>
    <w:rsid w:val="002E3A05"/>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966"/>
    <w:rsid w:val="002F7655"/>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476"/>
    <w:rsid w:val="00327E60"/>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429C"/>
    <w:rsid w:val="00384B53"/>
    <w:rsid w:val="003864C2"/>
    <w:rsid w:val="0038682C"/>
    <w:rsid w:val="00386DE4"/>
    <w:rsid w:val="003871D5"/>
    <w:rsid w:val="003875CE"/>
    <w:rsid w:val="00387A8D"/>
    <w:rsid w:val="00387B48"/>
    <w:rsid w:val="00387C2E"/>
    <w:rsid w:val="00387FB0"/>
    <w:rsid w:val="0039013C"/>
    <w:rsid w:val="003920CF"/>
    <w:rsid w:val="00392431"/>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412"/>
    <w:rsid w:val="003C47A9"/>
    <w:rsid w:val="003C4A2B"/>
    <w:rsid w:val="003C4AC3"/>
    <w:rsid w:val="003C505A"/>
    <w:rsid w:val="003C595E"/>
    <w:rsid w:val="003C5A1C"/>
    <w:rsid w:val="003C5C19"/>
    <w:rsid w:val="003C65D1"/>
    <w:rsid w:val="003C7510"/>
    <w:rsid w:val="003D0E32"/>
    <w:rsid w:val="003D128C"/>
    <w:rsid w:val="003D1571"/>
    <w:rsid w:val="003D16BA"/>
    <w:rsid w:val="003D178E"/>
    <w:rsid w:val="003D200A"/>
    <w:rsid w:val="003D2070"/>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D10"/>
    <w:rsid w:val="003F6D91"/>
    <w:rsid w:val="003F6FA1"/>
    <w:rsid w:val="003F7615"/>
    <w:rsid w:val="003F76F4"/>
    <w:rsid w:val="003F7D71"/>
    <w:rsid w:val="0040039E"/>
    <w:rsid w:val="0040040B"/>
    <w:rsid w:val="004005C0"/>
    <w:rsid w:val="00400CE4"/>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A4"/>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654"/>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549"/>
    <w:rsid w:val="00561EB1"/>
    <w:rsid w:val="00562646"/>
    <w:rsid w:val="005627F5"/>
    <w:rsid w:val="005638BD"/>
    <w:rsid w:val="0056555F"/>
    <w:rsid w:val="00565BCC"/>
    <w:rsid w:val="00566406"/>
    <w:rsid w:val="005670F0"/>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F21"/>
    <w:rsid w:val="005C5932"/>
    <w:rsid w:val="005C63AF"/>
    <w:rsid w:val="005C65A4"/>
    <w:rsid w:val="005C7166"/>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B7"/>
    <w:rsid w:val="006667EA"/>
    <w:rsid w:val="006669F9"/>
    <w:rsid w:val="00666E0F"/>
    <w:rsid w:val="00666E51"/>
    <w:rsid w:val="0066751E"/>
    <w:rsid w:val="00667787"/>
    <w:rsid w:val="00670099"/>
    <w:rsid w:val="006707EC"/>
    <w:rsid w:val="006709EF"/>
    <w:rsid w:val="00671638"/>
    <w:rsid w:val="00671873"/>
    <w:rsid w:val="006720C8"/>
    <w:rsid w:val="00672937"/>
    <w:rsid w:val="00672E41"/>
    <w:rsid w:val="006739AA"/>
    <w:rsid w:val="00673E26"/>
    <w:rsid w:val="0067415B"/>
    <w:rsid w:val="00675053"/>
    <w:rsid w:val="006756D4"/>
    <w:rsid w:val="00675A19"/>
    <w:rsid w:val="00676530"/>
    <w:rsid w:val="00680696"/>
    <w:rsid w:val="00680B04"/>
    <w:rsid w:val="00680C3C"/>
    <w:rsid w:val="006811EF"/>
    <w:rsid w:val="00681344"/>
    <w:rsid w:val="0068172B"/>
    <w:rsid w:val="00681C1E"/>
    <w:rsid w:val="00682978"/>
    <w:rsid w:val="00682C3F"/>
    <w:rsid w:val="0068370D"/>
    <w:rsid w:val="00683902"/>
    <w:rsid w:val="00683B0A"/>
    <w:rsid w:val="00683B76"/>
    <w:rsid w:val="0068418F"/>
    <w:rsid w:val="00684E37"/>
    <w:rsid w:val="0068526B"/>
    <w:rsid w:val="00685B94"/>
    <w:rsid w:val="00685EFF"/>
    <w:rsid w:val="0068676D"/>
    <w:rsid w:val="00686F28"/>
    <w:rsid w:val="006874D0"/>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437"/>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12DE"/>
    <w:rsid w:val="006F27DD"/>
    <w:rsid w:val="006F34CF"/>
    <w:rsid w:val="006F3890"/>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10B"/>
    <w:rsid w:val="00750433"/>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A99"/>
    <w:rsid w:val="007841CA"/>
    <w:rsid w:val="00784957"/>
    <w:rsid w:val="00784BA1"/>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B03"/>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577"/>
    <w:rsid w:val="008229DB"/>
    <w:rsid w:val="00823FD8"/>
    <w:rsid w:val="00824344"/>
    <w:rsid w:val="00825FFF"/>
    <w:rsid w:val="00826312"/>
    <w:rsid w:val="008265E8"/>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2355"/>
    <w:rsid w:val="008425A9"/>
    <w:rsid w:val="008426B4"/>
    <w:rsid w:val="00843317"/>
    <w:rsid w:val="00843CF8"/>
    <w:rsid w:val="00844D9F"/>
    <w:rsid w:val="0084554E"/>
    <w:rsid w:val="00845970"/>
    <w:rsid w:val="00845B42"/>
    <w:rsid w:val="0084631F"/>
    <w:rsid w:val="00846692"/>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934"/>
    <w:rsid w:val="00876F1C"/>
    <w:rsid w:val="00877293"/>
    <w:rsid w:val="0087764E"/>
    <w:rsid w:val="00877E19"/>
    <w:rsid w:val="00880312"/>
    <w:rsid w:val="00880AB7"/>
    <w:rsid w:val="008810A7"/>
    <w:rsid w:val="0088127A"/>
    <w:rsid w:val="008817B0"/>
    <w:rsid w:val="00881B39"/>
    <w:rsid w:val="008826CE"/>
    <w:rsid w:val="00883DBE"/>
    <w:rsid w:val="00883F92"/>
    <w:rsid w:val="008843B8"/>
    <w:rsid w:val="0088451A"/>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5A8F"/>
    <w:rsid w:val="00896FBF"/>
    <w:rsid w:val="0089737E"/>
    <w:rsid w:val="008A1418"/>
    <w:rsid w:val="008A1F1C"/>
    <w:rsid w:val="008A234F"/>
    <w:rsid w:val="008A2460"/>
    <w:rsid w:val="008A302A"/>
    <w:rsid w:val="008A305D"/>
    <w:rsid w:val="008A3397"/>
    <w:rsid w:val="008A33CF"/>
    <w:rsid w:val="008A3A3B"/>
    <w:rsid w:val="008A3C1A"/>
    <w:rsid w:val="008A467B"/>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904"/>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A05"/>
    <w:rsid w:val="00930706"/>
    <w:rsid w:val="00930ED2"/>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60"/>
    <w:rsid w:val="009C727C"/>
    <w:rsid w:val="009D01F3"/>
    <w:rsid w:val="009D0B68"/>
    <w:rsid w:val="009D162F"/>
    <w:rsid w:val="009D1E17"/>
    <w:rsid w:val="009D1F4F"/>
    <w:rsid w:val="009D2197"/>
    <w:rsid w:val="009D23A6"/>
    <w:rsid w:val="009D23D4"/>
    <w:rsid w:val="009D2AE0"/>
    <w:rsid w:val="009D2AEB"/>
    <w:rsid w:val="009D2FB5"/>
    <w:rsid w:val="009D305E"/>
    <w:rsid w:val="009D3121"/>
    <w:rsid w:val="009D3EC7"/>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4CEC"/>
    <w:rsid w:val="00B551FB"/>
    <w:rsid w:val="00B5524C"/>
    <w:rsid w:val="00B56569"/>
    <w:rsid w:val="00B56679"/>
    <w:rsid w:val="00B5682C"/>
    <w:rsid w:val="00B57618"/>
    <w:rsid w:val="00B604D2"/>
    <w:rsid w:val="00B61494"/>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2EE"/>
    <w:rsid w:val="00B753F6"/>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165"/>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443"/>
    <w:rsid w:val="00C03570"/>
    <w:rsid w:val="00C036B2"/>
    <w:rsid w:val="00C036DF"/>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1652"/>
    <w:rsid w:val="00C21788"/>
    <w:rsid w:val="00C221BC"/>
    <w:rsid w:val="00C231EB"/>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77D"/>
    <w:rsid w:val="00C35D1A"/>
    <w:rsid w:val="00C37283"/>
    <w:rsid w:val="00C37E5E"/>
    <w:rsid w:val="00C41079"/>
    <w:rsid w:val="00C415F9"/>
    <w:rsid w:val="00C41AE9"/>
    <w:rsid w:val="00C4240D"/>
    <w:rsid w:val="00C42450"/>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12F"/>
    <w:rsid w:val="00C706C5"/>
    <w:rsid w:val="00C713F4"/>
    <w:rsid w:val="00C717E8"/>
    <w:rsid w:val="00C71D53"/>
    <w:rsid w:val="00C7215F"/>
    <w:rsid w:val="00C73881"/>
    <w:rsid w:val="00C73FDC"/>
    <w:rsid w:val="00C74046"/>
    <w:rsid w:val="00C744DA"/>
    <w:rsid w:val="00C75316"/>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3DEA"/>
    <w:rsid w:val="00C9425E"/>
    <w:rsid w:val="00C9452D"/>
    <w:rsid w:val="00C94ED1"/>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B93"/>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445C"/>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FC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DF79E9"/>
    <w:rsid w:val="00E00B45"/>
    <w:rsid w:val="00E00B96"/>
    <w:rsid w:val="00E00F45"/>
    <w:rsid w:val="00E010C2"/>
    <w:rsid w:val="00E01585"/>
    <w:rsid w:val="00E01870"/>
    <w:rsid w:val="00E01951"/>
    <w:rsid w:val="00E01C3D"/>
    <w:rsid w:val="00E0239F"/>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D10"/>
    <w:rsid w:val="00E226C5"/>
    <w:rsid w:val="00E23936"/>
    <w:rsid w:val="00E23AA8"/>
    <w:rsid w:val="00E24342"/>
    <w:rsid w:val="00E25017"/>
    <w:rsid w:val="00E2526F"/>
    <w:rsid w:val="00E26150"/>
    <w:rsid w:val="00E262EA"/>
    <w:rsid w:val="00E26679"/>
    <w:rsid w:val="00E2680F"/>
    <w:rsid w:val="00E26D68"/>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4331"/>
    <w:rsid w:val="00E45757"/>
    <w:rsid w:val="00E470A7"/>
    <w:rsid w:val="00E472A4"/>
    <w:rsid w:val="00E47311"/>
    <w:rsid w:val="00E47931"/>
    <w:rsid w:val="00E47EE0"/>
    <w:rsid w:val="00E50188"/>
    <w:rsid w:val="00E503B1"/>
    <w:rsid w:val="00E503C4"/>
    <w:rsid w:val="00E512A8"/>
    <w:rsid w:val="00E5285D"/>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4822"/>
    <w:rsid w:val="00E651BA"/>
    <w:rsid w:val="00E65CB6"/>
    <w:rsid w:val="00E6628F"/>
    <w:rsid w:val="00E66291"/>
    <w:rsid w:val="00E66382"/>
    <w:rsid w:val="00E66413"/>
    <w:rsid w:val="00E6663A"/>
    <w:rsid w:val="00E666F3"/>
    <w:rsid w:val="00E66AE2"/>
    <w:rsid w:val="00E670F1"/>
    <w:rsid w:val="00E67212"/>
    <w:rsid w:val="00E6726F"/>
    <w:rsid w:val="00E675BF"/>
    <w:rsid w:val="00E6762A"/>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019E"/>
    <w:rsid w:val="00E91390"/>
    <w:rsid w:val="00E914ED"/>
    <w:rsid w:val="00E91D6E"/>
    <w:rsid w:val="00E91D91"/>
    <w:rsid w:val="00E91E18"/>
    <w:rsid w:val="00E9254F"/>
    <w:rsid w:val="00E93369"/>
    <w:rsid w:val="00E93466"/>
    <w:rsid w:val="00E93DDA"/>
    <w:rsid w:val="00E94D0B"/>
    <w:rsid w:val="00E95597"/>
    <w:rsid w:val="00E9600C"/>
    <w:rsid w:val="00E9665E"/>
    <w:rsid w:val="00E9679E"/>
    <w:rsid w:val="00E975EE"/>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4062"/>
    <w:rsid w:val="00EA5B59"/>
    <w:rsid w:val="00EA61FE"/>
    <w:rsid w:val="00EA6501"/>
    <w:rsid w:val="00EA6BAB"/>
    <w:rsid w:val="00EA6BD2"/>
    <w:rsid w:val="00EA7444"/>
    <w:rsid w:val="00EB0141"/>
    <w:rsid w:val="00EB09A9"/>
    <w:rsid w:val="00EB1D1F"/>
    <w:rsid w:val="00EB28A7"/>
    <w:rsid w:val="00EB2E0A"/>
    <w:rsid w:val="00EB2EC3"/>
    <w:rsid w:val="00EB3206"/>
    <w:rsid w:val="00EB32AE"/>
    <w:rsid w:val="00EB3A00"/>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7EE"/>
    <w:rsid w:val="00EE5DA6"/>
    <w:rsid w:val="00EE5E71"/>
    <w:rsid w:val="00EE5F76"/>
    <w:rsid w:val="00EE611D"/>
    <w:rsid w:val="00EE6547"/>
    <w:rsid w:val="00EE7102"/>
    <w:rsid w:val="00EE7289"/>
    <w:rsid w:val="00EF0692"/>
    <w:rsid w:val="00EF16B0"/>
    <w:rsid w:val="00EF1B34"/>
    <w:rsid w:val="00EF21C4"/>
    <w:rsid w:val="00EF227B"/>
    <w:rsid w:val="00EF2634"/>
    <w:rsid w:val="00EF380C"/>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246"/>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5F9C"/>
    <w:rsid w:val="00F767EC"/>
    <w:rsid w:val="00F76A34"/>
    <w:rsid w:val="00F770AA"/>
    <w:rsid w:val="00F770F1"/>
    <w:rsid w:val="00F77D64"/>
    <w:rsid w:val="00F8032A"/>
    <w:rsid w:val="00F803F3"/>
    <w:rsid w:val="00F81DA8"/>
    <w:rsid w:val="00F81DFD"/>
    <w:rsid w:val="00F82066"/>
    <w:rsid w:val="00F82133"/>
    <w:rsid w:val="00F8483E"/>
    <w:rsid w:val="00F84936"/>
    <w:rsid w:val="00F84C6F"/>
    <w:rsid w:val="00F85431"/>
    <w:rsid w:val="00F856F9"/>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57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35"/>
    <w:rsid w:val="00EB28A7"/>
    <w:rPr>
      <w:rFonts w:ascii="Times New Roman" w:eastAsia="맑은 고딕" w:hAnsi="Times New Roman" w:cs="Times New Roman"/>
      <w:b/>
      <w:bCs/>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D6BAB-8804-467A-8F84-7A9ED453E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6</Pages>
  <Words>2063</Words>
  <Characters>11765</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26</cp:revision>
  <cp:lastPrinted>2013-10-30T13:46:00Z</cp:lastPrinted>
  <dcterms:created xsi:type="dcterms:W3CDTF">2023-05-15T07:39:00Z</dcterms:created>
  <dcterms:modified xsi:type="dcterms:W3CDTF">2023-08-11T00:45:00Z</dcterms:modified>
</cp:coreProperties>
</file>